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9.00 / Monat  ·  CHF 90.00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8.00 / Monat  ·  CHF 80.00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7.00 / Monat  ·  CHF 70.00 / Jahr</w:t>
            </w:r>
          </w:p>
        </w:tc>
      </w:tr>
    </w:tbl>
    <w:p>
      <w:pPr>
        <w:spacing w:after="140"/>
      </w:pPr>
      <w:r>
        <w:rPr>
          <w:rFonts w:ascii="IBM Plex Sans" w:cs="IBM Plex Sans" w:eastAsia="IBM Plex Sans" w:hAnsi="IBM Plex Sans"/>
          <w:color w:val="333333"/>
          <w:sz w:val="21"/>
          <w:szCs w:val="21"/>
        </w:rPr>
        <w:t xml:space="preserve">Alle Preise inkl.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81.00, 10 Benutzer nur 80.00.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14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14 Tage, bis zu 3 Benutzer,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bleiben seine Positionen als eigenständige Zeiteinträge bestehen und weiterhin verrechenbar; es verschwindet nur das Dokument darüber.</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10.7 Strukturierte Adresse</w:t>
      </w:r>
    </w:p>
    <w:p>
      <w:pPr>
        <w:spacing w:after="120"/>
      </w:pPr>
      <w:r>
        <w:rPr>
          <w:rFonts w:ascii="IBM Plex Sans" w:cs="IBM Plex Sans" w:eastAsia="IBM Plex Sans" w:hAnsi="IBM Plex Sans"/>
          <w:color w:val="0E0C19"/>
          <w:sz w:val="21"/>
          <w:szCs w:val="21"/>
        </w:rP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spacing w:after="120"/>
      </w:pPr>
      <w:r>
        <w:rPr>
          <w:rFonts w:ascii="IBM Plex Sans" w:cs="IBM Plex Sans" w:eastAsia="IBM Plex Sans" w:hAnsi="IBM Plex Sans"/>
          <w:color w:val="0E0C19"/>
          <w:sz w:val="21"/>
          <w:szCs w:val="21"/>
        </w:rP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spacing w:after="120"/>
      </w:pPr>
      <w:r>
        <w:rPr>
          <w:rFonts w:ascii="IBM Plex Sans" w:cs="IBM Plex Sans" w:eastAsia="IBM Plex Sans" w:hAnsi="IBM Plex Sans"/>
          <w:color w:val="0E0C19"/>
          <w:sz w:val="21"/>
          <w:szCs w:val="21"/>
        </w:rP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10.8 Projektteam</w:t>
      </w:r>
    </w:p>
    <w:p>
      <w:pPr>
        <w:spacing w:after="120"/>
      </w:pPr>
      <w:r>
        <w:rPr>
          <w:rFonts w:ascii="IBM Plex Sans" w:cs="IBM Plex Sans" w:eastAsia="IBM Plex Sans" w:hAnsi="IBM Plex Sans"/>
          <w:color w:val="0E0C19"/>
          <w:sz w:val="21"/>
          <w:szCs w:val="21"/>
        </w:rP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spacing w:after="120"/>
      </w:pPr>
      <w:r>
        <w:rPr>
          <w:rFonts w:ascii="IBM Plex Sans" w:cs="IBM Plex Sans" w:eastAsia="IBM Plex Sans" w:hAnsi="IBM Plex Sans"/>
          <w:color w:val="0E0C19"/>
          <w:sz w:val="21"/>
          <w:szCs w:val="21"/>
        </w:rP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spacing w:after="120"/>
      </w:pPr>
      <w:r>
        <w:rPr>
          <w:rFonts w:ascii="IBM Plex Sans" w:cs="IBM Plex Sans" w:eastAsia="IBM Plex Sans" w:hAnsi="IBM Plex Sans"/>
          <w:color w:val="0E0C19"/>
          <w:sz w:val="21"/>
          <w:szCs w:val="21"/>
        </w:rP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spacing w:after="120"/>
      </w:pPr>
      <w:r>
        <w:rPr>
          <w:rFonts w:ascii="IBM Plex Sans" w:cs="IBM Plex Sans" w:eastAsia="IBM Plex Sans" w:hAnsi="IBM Plex Sans"/>
          <w:color w:val="0E0C19"/>
          <w:sz w:val="21"/>
          <w:szCs w:val="21"/>
        </w:rPr>
        <w:t xml:space="preserve">Bestehende Projekte, die vor dieser Änderung abgeschottet wurden, haben ein leeres Team. Wer sie wieder für die zuständigen Personen öffnen will, trägt sie dort einmalig ein.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10.9 Drei Wege, eine Anfrage abzuschliessen</w:t>
      </w:r>
    </w:p>
    <w:p>
      <w:pPr>
        <w:spacing w:after="120"/>
      </w:pPr>
      <w:r>
        <w:rPr>
          <w:rFonts w:ascii="IBM Plex Sans" w:cs="IBM Plex Sans" w:eastAsia="IBM Plex Sans" w:hAnsi="IBM Plex Sans"/>
          <w:color w:val="0E0C19"/>
          <w:sz w:val="21"/>
          <w:szCs w:val="21"/>
        </w:rPr>
        <w:t xml:space="preserve">Mit der Einführung der Rapporte war der Ablauf nicht mehr durchgängig: Eine Anfrage liess sich ausschliesslich über einen Zeiteintrag abschliessen. Wer den Einsatz als Rapport dokumentierte, musste die zugehörige Anfrage von Hand nachziehen. Und für Anfragen, aus denen gar keine Leistung entsteht, fehlte überhaupt ein sauberer Abschluss.</w:t>
      </w:r>
    </w:p>
    <w:p>
      <w:pPr>
        <w:spacing w:after="120"/>
      </w:pPr>
      <w:r>
        <w:rPr>
          <w:rFonts w:ascii="IBM Plex Sans" w:cs="IBM Plex Sans" w:eastAsia="IBM Plex Sans" w:hAnsi="IBM Plex Sans"/>
          <w:color w:val="0E0C19"/>
          <w:sz w:val="21"/>
          <w:szCs w:val="21"/>
        </w:rPr>
        <w:t xml:space="preserve">Die Detailseite bietet deshalb jetzt drei Wege an. Alle drei speichern Änderungen an Titel, Beschreibung und Zuweisung mit, die unmittelbar davor gemacht wurden – die Knöpfe liegen im selben Formular und schicken dessen Inhalt mit.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Zeiteintrag: </w:t>
      </w:r>
      <w:r>
        <w:rPr>
          <w:rFonts w:ascii="IBM Plex Sans" w:cs="IBM Plex Sans" w:eastAsia="IBM Plex Sans" w:hAnsi="IBM Plex Sans"/>
          <w:color w:val="333333"/>
          <w:sz w:val="21"/>
          <w:szCs w:val="21"/>
        </w:rPr>
        <w:t xml:space="preserve">der bisherige und übliche Weg. Auch nicht verrechnete Arbeit läuft hier durch, mit Rabatt 100%, damit die aufgewendete Zeit vollständig erfasst bleibt.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Rapport: </w:t>
      </w:r>
      <w:r>
        <w:rPr>
          <w:rFonts w:ascii="IBM Plex Sans" w:cs="IBM Plex Sans" w:eastAsia="IBM Plex Sans" w:hAnsi="IBM Plex Sans"/>
          <w:color w:val="333333"/>
          <w:sz w:val="21"/>
          <w:szCs w:val="21"/>
        </w:rPr>
        <w:t xml:space="preserve">legt einen Rapport-Entwurf für denselben Kunden an und übernimmt Titel und Beschreibung als Bemerkung. Die Namenszeile wird dabei entfernt – der Rapport führt die ausführende Person als eigenes Feld, sie stünde sonst doppelt. Anschliessend führt die Anwendung direkt in den Rapport, weil dort als Nächstes die Positionen entstehen.</w:t>
      </w:r>
    </w:p>
    <w:p>
      <w:pPr>
        <w:pStyle w:val="ListParagraph"/>
        <w:numPr>
          <w:ilvl w:val="0"/>
          <w:numId w:val="2"/>
        </w:numPr>
        <w:spacing w:after="60"/>
      </w:pPr>
      <w:r>
        <w:rPr>
          <w:rFonts w:ascii="IBM Plex Sans" w:cs="IBM Plex Sans" w:eastAsia="IBM Plex Sans" w:hAnsi="IBM Plex Sans"/>
          <w:b/>
          <w:bCs/>
          <w:color w:val="0E0C19"/>
          <w:sz w:val="21"/>
          <w:szCs w:val="21"/>
        </w:rPr>
        <w:t xml:space="preserve">Ohne Nachweis: </w:t>
      </w:r>
      <w:r>
        <w:rPr>
          <w:rFonts w:ascii="IBM Plex Sans" w:cs="IBM Plex Sans" w:eastAsia="IBM Plex Sans" w:hAnsi="IBM Plex Sans"/>
          <w:color w:val="333333"/>
          <w:sz w:val="21"/>
          <w:szCs w:val="21"/>
        </w:rPr>
        <w:t xml:space="preserve">schliesst die Anfrage, ohne etwas zu erzeugen. Für Rückfragen, Irrläufer und alles, was sich von selbst erledigt.</w:t>
      </w:r>
    </w:p>
    <w:p>
      <w:pPr>
        <w:spacing w:after="120"/>
      </w:pPr>
      <w:r>
        <w:rPr>
          <w:rFonts w:ascii="IBM Plex Sans" w:cs="IBM Plex Sans" w:eastAsia="IBM Plex Sans" w:hAnsi="IBM Plex Sans"/>
          <w:color w:val="0E0C19"/>
          <w:sz w:val="21"/>
          <w:szCs w:val="21"/>
        </w:rPr>
        <w:t xml:space="preserve">Alle drei stehen jedem Benutzer offen. Das Löschen einer Anfrage bleibt dem Admin vorbehalten und ist bewusst etwas anderes: Erledigtes bleibt nachvollziehbar, Gelöschtes ist weg.</w:t>
      </w:r>
    </w:p>
    <w:p>
      <w:pPr>
        <w:spacing w:after="120"/>
      </w:pPr>
      <w:r>
        <w:rPr>
          <w:rFonts w:ascii="IBM Plex Sans" w:cs="IBM Plex Sans" w:eastAsia="IBM Plex Sans" w:hAnsi="IBM Plex Sans"/>
          <w:color w:val="0E0C19"/>
          <w:sz w:val="21"/>
          <w:szCs w:val="21"/>
        </w:rPr>
        <w:t xml:space="preserve">Bewusst nicht umgesetzt wurde eine Rückverknüpfung vom Rapport auf die Anfrage. Der Weg über den Zeiteintrag kennt sie ebenfalls nicht, und eine Verknüpfung nur an einer von zwei Stellen wäre inkonsistenter als gar keine.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