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239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56"/>
          <w:szCs w:val="56"/>
        </w:rPr>
        <w:t xml:space="preserve">ArcoTime</w:t>
      </w:r>
    </w:p>
    <w:p>
      <w:pPr>
        <w:spacing w:after="60" w:before="40"/>
        <w:jc w:val="center"/>
      </w:pPr>
      <w:r>
        <w:rPr>
          <w:rFonts w:ascii="IBM Plex Sans" w:cs="IBM Plex Sans" w:eastAsia="IBM Plex Sans" w:hAnsi="IBM Plex Sans"/>
          <w:i/>
          <w:iCs/>
          <w:color w:val="457B9D"/>
          <w:sz w:val="22"/>
          <w:szCs w:val="22"/>
        </w:rPr>
        <w:t xml:space="preserve">Smart planen. Besser arbeiten.</w:t>
      </w:r>
    </w:p>
    <w:p>
      <w:pPr>
        <w:pBdr>
          <w:bottom w:val="single" w:color="457B9D" w:sz="6" w:space="8"/>
        </w:pBdr>
        <w:spacing w:after="220"/>
        <w:jc w:val="center"/>
      </w:pPr>
    </w:p>
    <w:p>
      <w:pPr>
        <w:spacing w:after="260"/>
        <w:jc w:val="center"/>
      </w:pPr>
      <w:r>
        <w:rPr>
          <w:rFonts w:ascii="IBM Plex Sans" w:cs="IBM Plex Sans" w:eastAsia="IBM Plex Sans" w:hAnsi="IBM Plex Sans"/>
          <w:color w:val="0E0C19"/>
          <w:sz w:val="21"/>
          <w:szCs w:val="21"/>
        </w:rPr>
        <w:t xml:space="preserve">Zeiterfassung, Kundenanfragen und Auswertungen in einer Anwendung – statt in drei separaten Excel-Listen. Für KMU, die Zeit sparen und den Überblick behalten wollen.</w:t>
      </w:r>
    </w:p>
    <w:p>
      <w:pPr>
        <w:pStyle w:val="Heading1"/>
        <w:spacing w:after="16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30"/>
          <w:szCs w:val="30"/>
        </w:rPr>
        <w:t xml:space="preserve">Die Highlights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3"/>
        <w:gridCol w:w="5183"/>
      </w:tblGrid>
      <w:tr>
        <w:tc>
          <w:tcPr>
            <w:tcW w:type="dxa" w:w="5183"/>
            <w:tcMar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Zeiterfassung mit Timer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manuell oder live per Timer – läuft serverseitig weiter, auch bei geschlossenem Browser.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Anfragen-Kanban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vom Erstkontakt bis zum erledigten Auftrag, per Drag &amp; Drop.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Automatische Erinnerungen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fällige Wiedervorlagen melden sich per Badge und E-Mail – nichts geht vergessen.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Farbiger Kalender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Zeit und Anfragen auf einen Blick, farbig nach zuständiger Person.</w:t>
            </w:r>
          </w:p>
        </w:tc>
        <w:tc>
          <w:tcPr>
            <w:tcW w:type="dxa" w:w="5183"/>
          </w:tcPr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Durchgängige Schnellerfassung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neue Kunden und Projekte direkt aus jedem Formular anlegen, ohne die Seite zu verlassen.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Export für die Buchhaltung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ein Klick genügt – im passenden Format, mit automatischer Belegnummer.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Integrierte Benutzeranleitung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mit Stichwortsuche, direkt in der Anwendung – kontextsensitiv, druckbar.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Mandantenfähig &amp; sicher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jede Organisation sieht ausschliesslich ihre eigenen Daten.</w:t>
            </w:r>
          </w:p>
        </w:tc>
      </w:tr>
    </w:tbl>
    <w:p>
      <w:pPr>
        <w:pBdr>
          <w:top w:val="single" w:color="1D3557" w:sz="4"/>
          <w:left w:val="single" w:color="1D3557" w:sz="4"/>
          <w:right w:val="single" w:color="1D3557" w:sz="4"/>
        </w:pBdr>
        <w:shd w:fill="1D3557" w:val="clear"/>
        <w:spacing w:after="0" w:before="300"/>
        <w:jc w:val="center"/>
      </w:pPr>
      <w:r>
        <w:rPr>
          <w:rFonts w:ascii="IBM Plex Sans Condensed" w:cs="IBM Plex Sans Condensed" w:eastAsia="IBM Plex Sans Condensed" w:hAnsi="IBM Plex Sans Condensed"/>
          <w:b/>
          <w:bCs/>
          <w:color w:val="FFFFFF"/>
          <w:sz w:val="26"/>
          <w:szCs w:val="26"/>
        </w:rPr>
        <w:t xml:space="preserve">  Ab CHF 7.– bis CHF 9.– pro Monat und Benutzer  </w:t>
      </w:r>
    </w:p>
    <w:p>
      <w:pPr>
        <w:pBdr>
          <w:bottom w:val="single" w:color="1D3557" w:sz="4"/>
          <w:left w:val="single" w:color="1D3557" w:sz="4"/>
          <w:right w:val="single" w:color="1D3557" w:sz="4"/>
        </w:pBdr>
        <w:shd w:fill="1D3557" w:val="clear"/>
        <w:spacing w:after="60" w:before="0"/>
        <w:jc w:val="center"/>
      </w:pPr>
      <w:r>
        <w:rPr>
          <w:rFonts w:ascii="IBM Plex Sans" w:cs="IBM Plex Sans" w:eastAsia="IBM Plex Sans" w:hAnsi="IBM Plex Sans"/>
          <w:color w:val="FFFFFF"/>
          <w:sz w:val="19"/>
          <w:szCs w:val="19"/>
        </w:rPr>
        <w:t xml:space="preserve">  gestaffelt nach Anzahl Lizenzen  ·  14 Tage kostenlos testen  </w:t>
      </w:r>
    </w:p>
    <w:p>
      <w:pPr>
        <w:pStyle w:val="Heading1"/>
        <w:spacing w:after="160" w:before="28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30"/>
          <w:szCs w:val="30"/>
        </w:rPr>
        <w:t xml:space="preserve">So sieht es aus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3"/>
        <w:gridCol w:w="5183"/>
      </w:tblGrid>
      <w:tr>
        <w:tc>
          <w:tcPr>
            <w:tcW w:type="dxa" w:w="5183"/>
            <w:tcMar>
              <w:right w:type="dxa" w:w="15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IBM Plex Sans" w:cs="IBM Plex Sans" w:eastAsia="IBM Plex Sans" w:hAnsi="IBM Plex Sans"/>
                <w:i/>
                <w:iCs/>
                <w:color w:val="457B9D"/>
                <w:sz w:val="17"/>
                <w:szCs w:val="17"/>
              </w:rPr>
              <w:t xml:space="preserve">Anfragen als Kanban-Board</w:t>
            </w:r>
          </w:p>
        </w:tc>
        <w:tc>
          <w:tcPr>
            <w:tcW w:type="dxa" w:w="5183"/>
            <w:tcMar>
              <w:left w:type="dxa" w:w="15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IBM Plex Sans" w:cs="IBM Plex Sans" w:eastAsia="IBM Plex Sans" w:hAnsi="IBM Plex Sans"/>
                <w:i/>
                <w:iCs/>
                <w:color w:val="457B9D"/>
                <w:sz w:val="17"/>
                <w:szCs w:val="17"/>
              </w:rPr>
              <w:t xml:space="preserve">Farbiger Kalender</w:t>
            </w:r>
          </w:p>
        </w:tc>
      </w:tr>
    </w:tbl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1F5F9" w:val="clear"/>
        <w:spacing w:before="32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26"/>
          <w:szCs w:val="26"/>
        </w:rPr>
        <w:t xml:space="preserve">  Interesse geweckt?</w:t>
      </w:r>
    </w:p>
    <w:p>
      <w:pPr>
        <w:pBdr>
          <w:bottom w:val="single" w:color="D1D5DB" w:sz="4"/>
          <w:left w:val="single" w:color="D1D5DB" w:sz="4"/>
          <w:right w:val="single" w:color="D1D5DB" w:sz="4"/>
        </w:pBdr>
        <w:shd w:fill="F1F5F9" w:val="clear"/>
        <w:spacing w:after="100" w:before="100"/>
        <w:ind w:left="160"/>
      </w:pPr>
      <w:r>
        <w:rPr>
          <w:rFonts w:ascii="IBM Plex Sans" w:cs="IBM Plex Sans" w:eastAsia="IBM Plex Sans" w:hAnsi="IBM Plex Sans"/>
          <w:color w:val="333333"/>
          <w:sz w:val="20"/>
          <w:szCs w:val="20"/>
        </w:rPr>
        <w:t xml:space="preserve">Wir zeigen Ihnen gerne unverbindlich, wie ArcoTime für Ihren Betrieb passt.</w:t>
      </w:r>
    </w:p>
    <w:p>
      <w:pPr>
        <w:pBdr>
          <w:left w:val="single" w:color="D1D5DB" w:sz="4"/>
          <w:right w:val="single" w:color="D1D5DB" w:sz="4"/>
        </w:pBdr>
        <w:shd w:fill="F1F5F9" w:val="clear"/>
        <w:spacing w:after="100"/>
        <w:ind w:left="160"/>
      </w:pPr>
      <w:r>
        <w:rPr>
          <w:rFonts w:ascii="IBM Plex Sans" w:cs="IBM Plex Sans" w:eastAsia="IBM Plex Sans" w:hAnsi="IBM Plex Sans"/>
          <w:b/>
          <w:bCs/>
          <w:color w:val="0E0C19"/>
          <w:sz w:val="19"/>
          <w:szCs w:val="19"/>
        </w:rPr>
        <w:t xml:space="preserve">[Name Ansprechpartner:in]</w:t>
      </w:r>
      <w:r>
        <w:rPr>
          <w:rFonts w:ascii="IBM Plex Sans" w:cs="IBM Plex Sans" w:eastAsia="IBM Plex Sans" w:hAnsi="IBM Plex Sans"/>
          <w:color w:val="333333"/>
          <w:sz w:val="19"/>
          <w:szCs w:val="19"/>
        </w:rPr>
        <w:t xml:space="preserve">   ·   [Telefonnummer]   ·   [E-Mail-Adresse]</w:t>
      </w:r>
    </w:p>
    <w:p>
      <w:pPr>
        <w:pBdr>
          <w:bottom w:val="single" w:color="D1D5DB" w:sz="4"/>
          <w:left w:val="single" w:color="D1D5DB" w:sz="4"/>
          <w:right w:val="single" w:color="D1D5DB" w:sz="4"/>
        </w:pBdr>
        <w:shd w:fill="F1F5F9" w:val="clear"/>
        <w:spacing w:after="240"/>
        <w:ind w:left="160"/>
      </w:pPr>
      <w:r>
        <w:rPr>
          <w:rFonts w:ascii="IBM Plex Sans" w:cs="IBM Plex Sans" w:eastAsia="IBM Plex Sans" w:hAnsi="IBM Plex Sans"/>
          <w:color w:val="333333"/>
          <w:sz w:val="19"/>
          <w:szCs w:val="19"/>
        </w:rPr>
        <w:t xml:space="preserve">Oder direkt online registrieren und 14 Tage kostenlos testen: </w:t>
      </w:r>
      <w:r>
        <w:rPr>
          <w:rFonts w:ascii="IBM Plex Sans" w:cs="IBM Plex Sans" w:eastAsia="IBM Plex Sans" w:hAnsi="IBM Plex Sans"/>
          <w:b/>
          <w:bCs/>
          <w:color w:val="457B9D"/>
          <w:sz w:val="19"/>
          <w:szCs w:val="19"/>
        </w:rPr>
        <w:t xml:space="preserve">arco-time.vercel.app/registrieren</w:t>
      </w:r>
    </w:p>
    <w:p>
      <w:pPr>
        <w:spacing w:before="260"/>
        <w:jc w:val="center"/>
      </w:pPr>
      <w:r>
        <w:drawing>
          <wp:inline distT="0" distB="0" distL="0" distR="0">
            <wp:extent cx="19050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680" w:right="720" w:bottom="6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b5e9d71bb7afc3f7824f729e2851a0e71719796.png"/><Relationship Id="rId8" Type="http://schemas.openxmlformats.org/officeDocument/2006/relationships/image" Target="media/a6208b8bbb32134bce6e84f4e22800807b0e7f11.png"/><Relationship Id="rId9" Type="http://schemas.openxmlformats.org/officeDocument/2006/relationships/image" Target="media/26b8929e1eff3a07af67eb245c74c4c390ef1ae3.png"/><Relationship Id="rId10" Type="http://schemas.openxmlformats.org/officeDocument/2006/relationships/image" Target="media/e0509aa50f9908dfdc53b6db2cac4721d58210f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ArcoTime – Flyer</dc:title>
  <dc:creator>Arcos Group</dc:creator>
  <cp:lastModifiedBy>Un-named</cp:lastModifiedBy>
  <cp:revision>1</cp:revision>
  <dcterms:created xsi:type="dcterms:W3CDTF">2026-08-11T21:12:26.811Z</dcterms:created>
  <dcterms:modified xsi:type="dcterms:W3CDTF">2026-08-11T21:12:26.816Z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