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bleiben seine Positionen als eigenständige Zeiteinträge bestehen und weiterhin verrechenbar; es verschwindet nur das Dokument darüber.</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