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CC88235" w:rsidR="009955BB" w:rsidRDefault="0015560D" w:rsidP="001556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>Українська</w:t>
      </w:r>
      <w:proofErr w:type="spellEnd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>наукова</w:t>
      </w:r>
      <w:proofErr w:type="spellEnd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>історія</w:t>
      </w:r>
      <w:proofErr w:type="spellEnd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b/>
          <w:sz w:val="28"/>
          <w:szCs w:val="28"/>
        </w:rPr>
        <w:t>здобутки</w:t>
      </w:r>
      <w:proofErr w:type="spellEnd"/>
    </w:p>
    <w:p w14:paraId="2337E3FA" w14:textId="77777777" w:rsidR="0015560D" w:rsidRPr="0015560D" w:rsidRDefault="0015560D" w:rsidP="001556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обслуговує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потреби науки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є передача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істинності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новизни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Жанрами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монографії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підручники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реферати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анотації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3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дослідницької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тлу</w:t>
      </w:r>
      <w:r>
        <w:rPr>
          <w:rFonts w:ascii="Times New Roman" w:eastAsia="Times New Roman" w:hAnsi="Times New Roman" w:cs="Times New Roman"/>
          <w:sz w:val="28"/>
          <w:szCs w:val="28"/>
        </w:rPr>
        <w:t>мачення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досягнутих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відкриттів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Найпоширеніша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— монолог.</w:t>
      </w:r>
    </w:p>
    <w:p w14:paraId="00000004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присутній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стилістичних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таким жанрам: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моногр</w:t>
      </w:r>
      <w:r>
        <w:rPr>
          <w:rFonts w:ascii="Times New Roman" w:eastAsia="Times New Roman" w:hAnsi="Times New Roman" w:cs="Times New Roman"/>
          <w:sz w:val="28"/>
          <w:szCs w:val="28"/>
        </w:rPr>
        <w:t>афія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дисертація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анотація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рецензія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підручник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науково-технічний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37E8710C" w:rsidR="009955BB" w:rsidRDefault="0015560D" w:rsidP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обґрунтовувати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гіпотези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істинність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класифікувати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роз'яснювати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активізуючи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пов'язано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еволюцією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</w:t>
      </w:r>
      <w:r>
        <w:rPr>
          <w:rFonts w:ascii="Times New Roman" w:eastAsia="Times New Roman" w:hAnsi="Times New Roman" w:cs="Times New Roman"/>
          <w:sz w:val="28"/>
          <w:szCs w:val="28"/>
        </w:rPr>
        <w:t>зноманітних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сфер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близький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стилю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Піфагора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Платона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Лукреція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особливим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емоційним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сприйняттям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</w:t>
      </w:r>
      <w:r>
        <w:rPr>
          <w:rFonts w:ascii="Times New Roman" w:eastAsia="Times New Roman" w:hAnsi="Times New Roman" w:cs="Times New Roman"/>
          <w:sz w:val="28"/>
          <w:szCs w:val="28"/>
        </w:rPr>
        <w:t>улося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олександрійський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грецькій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поширивши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тодішній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культурний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стала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термінологія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поповнилася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латині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стала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інтернаціональною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європейськог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середньовіччя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епоху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прагнули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стислості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емоційно-художніх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суперечать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абстрактно-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відображенню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занадто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характер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Галілея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ратував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Кеплера, а Декарт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Галілея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надмірно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белетризований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зразком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суворо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Ньютона.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науки) почав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книжній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зразками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впливом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грецької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латинської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той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ужитку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термінологізації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„на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богослов’я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популяризаторською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все ж вона мала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переклад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Іоана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(VI ст.),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</w:t>
      </w:r>
      <w:r>
        <w:rPr>
          <w:rFonts w:ascii="Times New Roman" w:eastAsia="Times New Roman" w:hAnsi="Times New Roman" w:cs="Times New Roman"/>
          <w:sz w:val="28"/>
          <w:szCs w:val="28"/>
        </w:rPr>
        <w:t>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Риму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Візантії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„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Хроніка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Георгія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Амартола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Многогрішного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Візантії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хроніка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Георгія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Сінкела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„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Ізборник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Святослава (1073).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X–XI 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поширені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природничі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„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Шестодневи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природознавства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філософське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небесних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світил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„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Фізіолог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оповідань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навколишній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„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Бджоли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збірник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сентенцій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знаменитих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людей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XVI–XVII ст.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Острозькій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Львівському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братстві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Києво-Могилянській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Києво-Печерській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лаврі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закладах, братствах,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монастирях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видавалися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книги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монографії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трактати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лексикони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прогност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бесіди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Києво-Могилянській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онтології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номінацій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закладено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дихотомії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„слово-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B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терміносистем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ХІХ ст.,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популярних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публікацій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„Основа” (1861–1862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брошур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товариства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Просвіта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Львові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1868 р.</w:t>
      </w:r>
    </w:p>
    <w:p w14:paraId="0000000C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Свідома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цілеспрямована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</w:t>
      </w:r>
      <w:r>
        <w:rPr>
          <w:rFonts w:ascii="Times New Roman" w:eastAsia="Times New Roman" w:hAnsi="Times New Roman" w:cs="Times New Roman"/>
          <w:sz w:val="28"/>
          <w:szCs w:val="28"/>
        </w:rPr>
        <w:t>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розпочалася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засновані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товариство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Львові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(1893 р.)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товариство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Києві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(1907 р.).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І. Франко, М. Драгоманов,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Подолинський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К. Михальчук,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Грушевський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Кримський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Гнатюк, І.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Верхратський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Свєнціцький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D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Україномовна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наука,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активного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1917–1920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вийшло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граматик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той час як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1920–1924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видано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45 і 15.</w:t>
      </w:r>
    </w:p>
    <w:p w14:paraId="0000000E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 1921 р.)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термінологічні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словники.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помітним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пуристични</w:t>
      </w:r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тенденціями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(початок ХХ ст.; 20-і, 50–60-і та 80–90-і роки ХХ ст.)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супроводжувалося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особливою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стилю,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співвідношення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термінол</w:t>
      </w:r>
      <w:r>
        <w:rPr>
          <w:rFonts w:ascii="Times New Roman" w:eastAsia="Times New Roman" w:hAnsi="Times New Roman" w:cs="Times New Roman"/>
          <w:sz w:val="28"/>
          <w:szCs w:val="28"/>
        </w:rPr>
        <w:t>огією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інтернаціональною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питомої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лексики.</w:t>
      </w:r>
    </w:p>
    <w:p w14:paraId="00000010" w14:textId="777AC877" w:rsidR="009955BB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ХХ – початку ХХІ ст., як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засвідчує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лібералізацію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норм,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збільшенні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варіантн</w:t>
      </w:r>
      <w:r>
        <w:rPr>
          <w:rFonts w:ascii="Times New Roman" w:eastAsia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іншомовних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запозичень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C6977D0" w14:textId="77777777" w:rsidR="0015560D" w:rsidRDefault="0015560D">
      <w:p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D04D2A7" w:rsidR="009955BB" w:rsidRPr="0015560D" w:rsidRDefault="0015560D">
      <w:pPr>
        <w:pBdr>
          <w:right w:val="none" w:sz="0" w:space="22" w:color="auto"/>
        </w:pBdr>
        <w:spacing w:before="12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556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Список </w:t>
      </w:r>
      <w:proofErr w:type="spellStart"/>
      <w:r w:rsidRPr="0015560D">
        <w:rPr>
          <w:rFonts w:ascii="Times New Roman" w:eastAsia="Times New Roman" w:hAnsi="Times New Roman" w:cs="Times New Roman"/>
          <w:b/>
          <w:i/>
          <w:sz w:val="28"/>
          <w:szCs w:val="28"/>
        </w:rPr>
        <w:t>використаних</w:t>
      </w:r>
      <w:proofErr w:type="spellEnd"/>
      <w:r w:rsidRPr="001556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b/>
          <w:i/>
          <w:sz w:val="28"/>
          <w:szCs w:val="28"/>
        </w:rPr>
        <w:t>джерел</w:t>
      </w:r>
      <w:proofErr w:type="spellEnd"/>
    </w:p>
    <w:p w14:paraId="00000012" w14:textId="4050DA41" w:rsidR="009955BB" w:rsidRPr="0015560D" w:rsidRDefault="0015560D" w:rsidP="0015560D">
      <w:pPr>
        <w:pStyle w:val="a5"/>
        <w:numPr>
          <w:ilvl w:val="0"/>
          <w:numId w:val="2"/>
        </w:num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Онуфрієнко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/ Г.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Онуфрієнко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>. – К., 2006.</w:t>
      </w:r>
    </w:p>
    <w:p w14:paraId="00000013" w14:textId="29F3ED7D" w:rsidR="009955BB" w:rsidRPr="0015560D" w:rsidRDefault="0015560D" w:rsidP="0015560D">
      <w:pPr>
        <w:pStyle w:val="a5"/>
        <w:numPr>
          <w:ilvl w:val="0"/>
          <w:numId w:val="2"/>
        </w:num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Пономарів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О.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Стилістика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сучасної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/ О.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Пономарів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>. – К., 19</w:t>
      </w:r>
      <w:bookmarkStart w:id="0" w:name="_GoBack"/>
      <w:bookmarkEnd w:id="0"/>
      <w:r w:rsidRPr="0015560D">
        <w:rPr>
          <w:rFonts w:ascii="Times New Roman" w:eastAsia="Times New Roman" w:hAnsi="Times New Roman" w:cs="Times New Roman"/>
          <w:sz w:val="28"/>
          <w:szCs w:val="28"/>
        </w:rPr>
        <w:t>93.</w:t>
      </w:r>
    </w:p>
    <w:p w14:paraId="00000014" w14:textId="0F72E99F" w:rsidR="009955BB" w:rsidRPr="0015560D" w:rsidRDefault="0015560D" w:rsidP="0015560D">
      <w:pPr>
        <w:pStyle w:val="a5"/>
        <w:numPr>
          <w:ilvl w:val="0"/>
          <w:numId w:val="2"/>
        </w:numPr>
        <w:pBdr>
          <w:right w:val="none" w:sz="0" w:space="22" w:color="auto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професійним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спрямуванням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посібник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/ Л.І.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Галузинська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, Н.В. Науменко, В.О.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Колосюк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>. – К., 2008.</w:t>
      </w:r>
    </w:p>
    <w:p w14:paraId="00000015" w14:textId="45419B25" w:rsidR="009955BB" w:rsidRPr="0015560D" w:rsidRDefault="0015560D" w:rsidP="0015560D">
      <w:pPr>
        <w:pStyle w:val="a5"/>
        <w:numPr>
          <w:ilvl w:val="0"/>
          <w:numId w:val="2"/>
        </w:numPr>
        <w:pBdr>
          <w:right w:val="none" w:sz="0" w:space="22" w:color="auto"/>
        </w:pBdr>
        <w:spacing w:before="120" w:after="240" w:line="240" w:lineRule="auto"/>
        <w:jc w:val="both"/>
        <w:rPr>
          <w:color w:val="424242"/>
          <w:sz w:val="21"/>
          <w:szCs w:val="21"/>
        </w:rPr>
      </w:pPr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Шевчук С.В.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професійним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спрямуванням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5560D">
        <w:rPr>
          <w:rFonts w:ascii="Times New Roman" w:eastAsia="Times New Roman" w:hAnsi="Times New Roman" w:cs="Times New Roman"/>
          <w:sz w:val="28"/>
          <w:szCs w:val="28"/>
        </w:rPr>
        <w:t>підручник</w:t>
      </w:r>
      <w:proofErr w:type="spellEnd"/>
      <w:r w:rsidRPr="0015560D">
        <w:rPr>
          <w:rFonts w:ascii="Times New Roman" w:eastAsia="Times New Roman" w:hAnsi="Times New Roman" w:cs="Times New Roman"/>
          <w:sz w:val="28"/>
          <w:szCs w:val="28"/>
        </w:rPr>
        <w:t xml:space="preserve"> / С.В.</w:t>
      </w:r>
      <w:r w:rsidRPr="0015560D">
        <w:rPr>
          <w:color w:val="424242"/>
          <w:sz w:val="21"/>
          <w:szCs w:val="21"/>
        </w:rPr>
        <w:t xml:space="preserve"> </w:t>
      </w:r>
    </w:p>
    <w:p w14:paraId="00000016" w14:textId="77777777" w:rsidR="009955BB" w:rsidRDefault="009955BB">
      <w:pPr>
        <w:pBdr>
          <w:right w:val="none" w:sz="0" w:space="22" w:color="auto"/>
        </w:pBd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9955BB" w:rsidRDefault="009955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955BB" w:rsidRDefault="009955BB">
      <w:pPr>
        <w:rPr>
          <w:sz w:val="24"/>
          <w:szCs w:val="24"/>
        </w:rPr>
      </w:pPr>
    </w:p>
    <w:sectPr w:rsidR="009955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46868"/>
    <w:multiLevelType w:val="hybridMultilevel"/>
    <w:tmpl w:val="536CC82A"/>
    <w:lvl w:ilvl="0" w:tplc="0422000F">
      <w:start w:val="1"/>
      <w:numFmt w:val="decimal"/>
      <w:lvlText w:val="%1."/>
      <w:lvlJc w:val="left"/>
      <w:pPr>
        <w:ind w:left="1420" w:hanging="360"/>
      </w:pPr>
    </w:lvl>
    <w:lvl w:ilvl="1" w:tplc="04220019" w:tentative="1">
      <w:start w:val="1"/>
      <w:numFmt w:val="lowerLetter"/>
      <w:lvlText w:val="%2."/>
      <w:lvlJc w:val="left"/>
      <w:pPr>
        <w:ind w:left="2140" w:hanging="360"/>
      </w:pPr>
    </w:lvl>
    <w:lvl w:ilvl="2" w:tplc="0422001B" w:tentative="1">
      <w:start w:val="1"/>
      <w:numFmt w:val="lowerRoman"/>
      <w:lvlText w:val="%3."/>
      <w:lvlJc w:val="right"/>
      <w:pPr>
        <w:ind w:left="2860" w:hanging="180"/>
      </w:pPr>
    </w:lvl>
    <w:lvl w:ilvl="3" w:tplc="0422000F" w:tentative="1">
      <w:start w:val="1"/>
      <w:numFmt w:val="decimal"/>
      <w:lvlText w:val="%4."/>
      <w:lvlJc w:val="left"/>
      <w:pPr>
        <w:ind w:left="3580" w:hanging="360"/>
      </w:pPr>
    </w:lvl>
    <w:lvl w:ilvl="4" w:tplc="04220019" w:tentative="1">
      <w:start w:val="1"/>
      <w:numFmt w:val="lowerLetter"/>
      <w:lvlText w:val="%5."/>
      <w:lvlJc w:val="left"/>
      <w:pPr>
        <w:ind w:left="4300" w:hanging="360"/>
      </w:pPr>
    </w:lvl>
    <w:lvl w:ilvl="5" w:tplc="0422001B" w:tentative="1">
      <w:start w:val="1"/>
      <w:numFmt w:val="lowerRoman"/>
      <w:lvlText w:val="%6."/>
      <w:lvlJc w:val="right"/>
      <w:pPr>
        <w:ind w:left="5020" w:hanging="180"/>
      </w:pPr>
    </w:lvl>
    <w:lvl w:ilvl="6" w:tplc="0422000F" w:tentative="1">
      <w:start w:val="1"/>
      <w:numFmt w:val="decimal"/>
      <w:lvlText w:val="%7."/>
      <w:lvlJc w:val="left"/>
      <w:pPr>
        <w:ind w:left="5740" w:hanging="360"/>
      </w:pPr>
    </w:lvl>
    <w:lvl w:ilvl="7" w:tplc="04220019" w:tentative="1">
      <w:start w:val="1"/>
      <w:numFmt w:val="lowerLetter"/>
      <w:lvlText w:val="%8."/>
      <w:lvlJc w:val="left"/>
      <w:pPr>
        <w:ind w:left="6460" w:hanging="360"/>
      </w:pPr>
    </w:lvl>
    <w:lvl w:ilvl="8" w:tplc="0422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78D022A8"/>
    <w:multiLevelType w:val="hybridMultilevel"/>
    <w:tmpl w:val="D27EA676"/>
    <w:lvl w:ilvl="0" w:tplc="704EE35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BB"/>
    <w:rsid w:val="0015560D"/>
    <w:rsid w:val="009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E11A"/>
  <w15:docId w15:val="{1B9D8ACC-21B6-43F3-AF39-6805ABBF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5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3775</Words>
  <Characters>2153</Characters>
  <Application>Microsoft Office Word</Application>
  <DocSecurity>0</DocSecurity>
  <Lines>17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Оля</cp:lastModifiedBy>
  <cp:revision>2</cp:revision>
  <dcterms:created xsi:type="dcterms:W3CDTF">2022-12-07T01:02:00Z</dcterms:created>
  <dcterms:modified xsi:type="dcterms:W3CDTF">2022-12-07T01:03:00Z</dcterms:modified>
</cp:coreProperties>
</file>