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Рахматов</w:t>
      </w:r>
      <w:r>
        <w:t xml:space="preserve"> </w:t>
      </w:r>
      <w:r>
        <w:t xml:space="preserve">Умеджон</w:t>
      </w:r>
      <w:r>
        <w:t xml:space="preserve"> </w:t>
      </w:r>
      <w:r>
        <w:t xml:space="preserve">Хотамович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</w:t>
      </w:r>
      <w:r>
        <w:t xml:space="preserve"> </w:t>
      </w:r>
      <w:r>
        <w:t xml:space="preserve">низкого уровня. Можно считать, что он больше любых других языков приближен к архитектуре ЭВМ</w:t>
      </w:r>
      <w:r>
        <w:t xml:space="preserve"> </w:t>
      </w:r>
      <w:r>
        <w:t xml:space="preserve">и её аппаратным возможностям, что позволяет получить к ним более полный доступ,</w:t>
      </w:r>
      <w:r>
        <w:t xml:space="preserve"> </w:t>
      </w:r>
      <w:r>
        <w:t xml:space="preserve">нежели в языках высокого уровня, таких как C/C++, Perl, Python и пр.</w:t>
      </w:r>
      <w:r>
        <w:t xml:space="preserve"> </w:t>
      </w:r>
      <w:r>
        <w:t xml:space="preserve">Заметим, 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 ядру</w:t>
      </w:r>
      <w:r>
        <w:t xml:space="preserve"> </w:t>
      </w:r>
      <w:r>
        <w:t xml:space="preserve">операционной системы. Именно на этом уровне и работают программы, написанные на ассемблере.</w:t>
      </w:r>
      <w:r>
        <w:t xml:space="preserve"> </w:t>
      </w:r>
      <w:r>
        <w:t xml:space="preserve">Но в отличие от языков высокого уровня ассемблерная программа содержит только тот код,</w:t>
      </w:r>
      <w:r>
        <w:t xml:space="preserve"> </w:t>
      </w:r>
      <w:r>
        <w:t xml:space="preserve">который ввёл программист. Таким образом язык ассемблера — это язык, с помощью которого понятным для человека</w:t>
      </w:r>
      <w:r>
        <w:t xml:space="preserve"> </w:t>
      </w:r>
      <w:r>
        <w:t xml:space="preserve">образом пишутся команды для процессора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Создали каталог lab04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2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6" w:name="fig:001"/>
      <w:r>
        <w:drawing>
          <wp:inline>
            <wp:extent cx="5334000" cy="4155770"/>
            <wp:effectExtent b="0" l="0" r="0" t="0"/>
            <wp:docPr descr="Рис. 1: Файл hello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3"/>
        </w:numPr>
      </w:pPr>
      <w:r>
        <w:t xml:space="preserve">Транслировали файл командой nasm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30" w:name="fig:002"/>
      <w:r>
        <w:drawing>
          <wp:inline>
            <wp:extent cx="5334000" cy="2827662"/>
            <wp:effectExtent b="0" l="0" r="0" t="0"/>
            <wp:docPr descr="Рис. 2: Работа программы hello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4" w:name="fig:003"/>
      <w:r>
        <w:drawing>
          <wp:inline>
            <wp:extent cx="5334000" cy="4146144"/>
            <wp:effectExtent b="0" l="0" r="0" t="0"/>
            <wp:docPr descr="Рис. 3: Файл lab04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lab04.asm</w:t>
      </w:r>
    </w:p>
    <w:p>
      <w:pPr>
        <w:pStyle w:val="CaptionedFigure"/>
      </w:pPr>
      <w:bookmarkStart w:id="38" w:name="fig:004"/>
      <w:r>
        <w:drawing>
          <wp:inline>
            <wp:extent cx="5334000" cy="2954215"/>
            <wp:effectExtent b="0" l="0" r="0" t="0"/>
            <wp:docPr descr="Рис. 4: Работа программы lab04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lab04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MASM, TASM, FASM, NASM под Windows и Linux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Рахматов Умеджон Хотамович НБИбд-04-22</dc:creator>
  <dc:language>ru-RU</dc:language>
  <cp:keywords/>
  <dcterms:created xsi:type="dcterms:W3CDTF">2022-11-22T14:45:31Z</dcterms:created>
  <dcterms:modified xsi:type="dcterms:W3CDTF">2022-11-22T14:45:31Z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