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Appendix 1. Regional Classification</w:t>
      </w:r>
    </w:p>
    <w:p>
      <w:pPr>
        <w:pStyle w:val="Heading1"/>
        <w:spacing w:after="150" w:before="340"/>
      </w:pPr>
      <w:r>
        <w:t xml:space="preserve">A1.1  Coding principle</w:t>
      </w:r>
    </w:p>
    <w:p>
      <w:pPr>
        <w:spacing w:after="150"/>
        <w:jc w:val="both"/>
      </w:pPr>
      <w:r>
        <w:t xml:space="preserve">Each campaign-belligerent participation is assigned to the region of the belligerent's own territory, rather than to the location of the fighting. A power fighting in a distant theatre is counted in its home region: the United Kingdom's participations in the Gulf War and in the Korean War both appear in Europe, Germany's campaigns in Finland and in the Soviet Union both appear in Europe, Cuba's interventions in Angola and the Ogaden both appear in Latin America and the Caribbean, and the Soviet Union's battles at Lake Khasan and Khalkhin Gol both appear in Eastern Europe. This is appropriate to our question, which asks which political entities have been fighting more or less over time, grouped by where they come from. It also means that the near-disappearance of European campaign-belligerent participations after 1950 reflects a change in European states' propensity to engage in conventional warfare, whether at home or abroad.</w:t>
      </w:r>
    </w:p>
    <w:p>
      <w:pPr>
        <w:spacing w:after="150"/>
        <w:jc w:val="both"/>
      </w:pPr>
      <w:r>
        <w:t xml:space="preserve">Assignments are fixed for the whole period. No belligerent appears in more than one of the eight analytical regions, and none changes region over time.</w:t>
      </w:r>
    </w:p>
    <w:p>
      <w:pPr>
        <w:pStyle w:val="Heading1"/>
        <w:spacing w:after="150" w:before="340"/>
      </w:pPr>
      <w:r>
        <w:t xml:space="preserve">A1.2  Non-state, historical and superseded belligerents</w:t>
      </w:r>
    </w:p>
    <w:p>
      <w:pPr>
        <w:spacing w:after="150"/>
        <w:jc w:val="both"/>
      </w:pPr>
      <w:r>
        <w:t>The data are not restricted to states recognised in the contemporary international system. The analysis sample contains 354 distinct belligerents, of which 236 are non-state actors, pre-modern or colonial-era polities, or states that have since been superseded — among them the Ashanti Empire, the Sikh Kingdom, the Taiping Heavenly Kingdom, the Confederate States of America, the Mahdist State, UNITA and Hezbollah. The remaining 118 are recognised states. Of the 354, 342 fall inside the eight analytical regions and 12 outside them.</w:t>
      </w:r>
    </w:p>
    <w:p>
      <w:pPr>
        <w:spacing w:after="150"/>
        <w:jc w:val="both"/>
      </w:pPr>
      <w:r>
        <w:t xml:space="preserve">These belligerents are assigned by the same rule as recognised states, to the region containing their territorial base. Because they rarely projected force beyond their own region, territorial base and campaign location coincide for almost all of them, so in practice their assignment follows the location of the campaigns in which they fought. Their regional memberships are listed in section A1.5.</w:t>
      </w:r>
    </w:p>
    <w:p>
      <w:pPr>
        <w:pStyle w:val="Heading1"/>
        <w:spacing w:after="150" w:before="340"/>
      </w:pPr>
      <w:r>
        <w:t xml:space="preserve">A1.3  The eight analytical regions</w:t>
      </w:r>
    </w:p>
    <w:p>
      <w:pPr>
        <w:spacing w:after="150"/>
        <w:jc w:val="both"/>
      </w:pPr>
      <w:r>
        <w:t xml:space="preserve">The regional variable in the data distinguishes eighteen sub-regions. The eight regions used in the analysis aggregate them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shd w:fill="2C3E50" w:val="clear"/>
            <w:tcMar>
              <w:top w:type="dxa" w:w="55"/>
              <w:left w:type="dxa" w:w="100"/>
              <w:bottom w:type="dxa" w:w="55"/>
              <w:right w:type="dxa" w:w="100"/>
            </w:tcMar>
          </w:tcPr>
          <w:p>
            <w:r>
              <w:rPr>
                <w:b/>
                <w:bCs/>
                <w:color w:val="FFFFFF"/>
                <w:sz w:val="19"/>
                <w:szCs w:val="19"/>
              </w:rPr>
              <w:t xml:space="preserve">Analytical region</w:t>
            </w:r>
          </w:p>
        </w:tc>
        <w:tc>
          <w:tcPr>
            <w:tcW w:type="dxa" w:w="1500"/>
            <w:shd w:fill="2C3E50" w:val="clear"/>
            <w:tcMar>
              <w:top w:type="dxa" w:w="55"/>
              <w:left w:type="dxa" w:w="100"/>
              <w:bottom w:type="dxa" w:w="55"/>
              <w:right w:type="dxa" w:w="100"/>
            </w:tcMar>
          </w:tcPr>
          <w:p>
            <w:r>
              <w:rPr>
                <w:b/>
                <w:bCs/>
                <w:color w:val="FFFFFF"/>
                <w:sz w:val="19"/>
                <w:szCs w:val="19"/>
              </w:rPr>
              <w:t xml:space="preserve">Sub-regions</w:t>
            </w:r>
          </w:p>
        </w:tc>
        <w:tc>
          <w:tcPr>
            <w:tcW w:type="dxa" w:w="4926"/>
            <w:shd w:fill="2C3E50" w:val="clear"/>
            <w:tcMar>
              <w:top w:type="dxa" w:w="55"/>
              <w:left w:type="dxa" w:w="100"/>
              <w:bottom w:type="dxa" w:w="55"/>
              <w:right w:type="dxa" w:w="100"/>
            </w:tcMar>
          </w:tcPr>
          <w:p>
            <w:r>
              <w:rPr>
                <w:b/>
                <w:bCs/>
                <w:color w:val="FFFFFF"/>
                <w:sz w:val="19"/>
                <w:szCs w:val="19"/>
              </w:rPr>
              <w:t xml:space="preserve">Sub-region names</w:t>
            </w:r>
          </w:p>
        </w:tc>
      </w:tr>
      <w:tr>
        <w:trPr>
          <w:tblHeader w:val="false"/>
        </w:trPr>
        <w:tc>
          <w:tcPr>
            <w:tcW w:type="dxa" w:w="2600"/>
            <w:tcMar>
              <w:top w:type="dxa" w:w="55"/>
              <w:left w:type="dxa" w:w="100"/>
              <w:bottom w:type="dxa" w:w="55"/>
              <w:right w:type="dxa" w:w="100"/>
            </w:tcMar>
          </w:tcPr>
          <w:p>
            <w:r>
              <w:rPr>
                <w:b w:val="false"/>
                <w:bCs w:val="false"/>
                <w:sz w:val="19"/>
                <w:szCs w:val="19"/>
              </w:rPr>
              <w:t xml:space="preserve">Europe</w:t>
            </w:r>
          </w:p>
        </w:tc>
        <w:tc>
          <w:tcPr>
            <w:tcW w:type="dxa" w:w="1500"/>
            <w:tcMar>
              <w:top w:type="dxa" w:w="55"/>
              <w:left w:type="dxa" w:w="100"/>
              <w:bottom w:type="dxa" w:w="55"/>
              <w:right w:type="dxa" w:w="100"/>
            </w:tcMar>
          </w:tcPr>
          <w:p>
            <w:r>
              <w:rPr>
                <w:b w:val="false"/>
                <w:bCs w:val="false"/>
                <w:sz w:val="19"/>
                <w:szCs w:val="19"/>
              </w:rPr>
              <w:t xml:space="preserve">1</w:t>
            </w:r>
          </w:p>
        </w:tc>
        <w:tc>
          <w:tcPr>
            <w:tcW w:type="dxa" w:w="4926"/>
            <w:tcMar>
              <w:top w:type="dxa" w:w="55"/>
              <w:left w:type="dxa" w:w="100"/>
              <w:bottom w:type="dxa" w:w="55"/>
              <w:right w:type="dxa" w:w="100"/>
            </w:tcMar>
          </w:tcPr>
          <w:p>
            <w:r>
              <w:rPr>
                <w:b w:val="false"/>
                <w:bCs w:val="false"/>
                <w:sz w:val="19"/>
                <w:szCs w:val="19"/>
              </w:rPr>
              <w:t xml:space="preserve">Europe</w:t>
            </w:r>
          </w:p>
        </w:tc>
      </w:tr>
      <w:tr>
        <w:trPr>
          <w:tblHeader w:val="false"/>
        </w:trPr>
        <w:tc>
          <w:tcPr>
            <w:tcW w:type="dxa" w:w="2600"/>
            <w:shd w:fill="FAFAFA" w:val="clear"/>
            <w:tcMar>
              <w:top w:type="dxa" w:w="55"/>
              <w:left w:type="dxa" w:w="100"/>
              <w:bottom w:type="dxa" w:w="55"/>
              <w:right w:type="dxa" w:w="100"/>
            </w:tcMar>
          </w:tcPr>
          <w:p>
            <w:r>
              <w:rPr>
                <w:b w:val="false"/>
                <w:bCs w:val="false"/>
                <w:sz w:val="19"/>
                <w:szCs w:val="19"/>
              </w:rPr>
              <w:t xml:space="preserve">Eastern Europe</w:t>
            </w:r>
          </w:p>
        </w:tc>
        <w:tc>
          <w:tcPr>
            <w:tcW w:type="dxa" w:w="1500"/>
            <w:shd w:fill="FAFAFA" w:val="clear"/>
            <w:tcMar>
              <w:top w:type="dxa" w:w="55"/>
              <w:left w:type="dxa" w:w="100"/>
              <w:bottom w:type="dxa" w:w="55"/>
              <w:right w:type="dxa" w:w="100"/>
            </w:tcMar>
          </w:tcPr>
          <w:p>
            <w:r>
              <w:rPr>
                <w:b w:val="false"/>
                <w:bCs w:val="false"/>
                <w:sz w:val="19"/>
                <w:szCs w:val="19"/>
              </w:rPr>
              <w:t xml:space="preserve">8, 11</w:t>
            </w:r>
          </w:p>
        </w:tc>
        <w:tc>
          <w:tcPr>
            <w:tcW w:type="dxa" w:w="4926"/>
            <w:shd w:fill="FAFAFA" w:val="clear"/>
            <w:tcMar>
              <w:top w:type="dxa" w:w="55"/>
              <w:left w:type="dxa" w:w="100"/>
              <w:bottom w:type="dxa" w:w="55"/>
              <w:right w:type="dxa" w:w="100"/>
            </w:tcMar>
          </w:tcPr>
          <w:p>
            <w:r>
              <w:rPr>
                <w:b w:val="false"/>
                <w:bCs w:val="false"/>
                <w:sz w:val="19"/>
                <w:szCs w:val="19"/>
              </w:rPr>
              <w:t xml:space="preserve">Eastern Europe; Post-Cold-War Eastern Europe</w:t>
            </w:r>
          </w:p>
        </w:tc>
      </w:tr>
      <w:tr>
        <w:trPr>
          <w:tblHeader w:val="false"/>
        </w:trPr>
        <w:tc>
          <w:tcPr>
            <w:tcW w:type="dxa" w:w="2600"/>
            <w:tcMar>
              <w:top w:type="dxa" w:w="55"/>
              <w:left w:type="dxa" w:w="100"/>
              <w:bottom w:type="dxa" w:w="55"/>
              <w:right w:type="dxa" w:w="100"/>
            </w:tcMar>
          </w:tcPr>
          <w:p>
            <w:r>
              <w:rPr>
                <w:b w:val="false"/>
                <w:bCs w:val="false"/>
                <w:sz w:val="19"/>
                <w:szCs w:val="19"/>
              </w:rPr>
              <w:t xml:space="preserve">Middle East &amp; North Africa</w:t>
            </w:r>
          </w:p>
        </w:tc>
        <w:tc>
          <w:tcPr>
            <w:tcW w:type="dxa" w:w="1500"/>
            <w:tcMar>
              <w:top w:type="dxa" w:w="55"/>
              <w:left w:type="dxa" w:w="100"/>
              <w:bottom w:type="dxa" w:w="55"/>
              <w:right w:type="dxa" w:w="100"/>
            </w:tcMar>
          </w:tcPr>
          <w:p>
            <w:r>
              <w:rPr>
                <w:b w:val="false"/>
                <w:bCs w:val="false"/>
                <w:sz w:val="19"/>
                <w:szCs w:val="19"/>
              </w:rPr>
              <w:t xml:space="preserve">2, 15</w:t>
            </w:r>
          </w:p>
        </w:tc>
        <w:tc>
          <w:tcPr>
            <w:tcW w:type="dxa" w:w="4926"/>
            <w:tcMar>
              <w:top w:type="dxa" w:w="55"/>
              <w:left w:type="dxa" w:w="100"/>
              <w:bottom w:type="dxa" w:w="55"/>
              <w:right w:type="dxa" w:w="100"/>
            </w:tcMar>
          </w:tcPr>
          <w:p>
            <w:r>
              <w:rPr>
                <w:b w:val="false"/>
                <w:bCs w:val="false"/>
                <w:sz w:val="19"/>
                <w:szCs w:val="19"/>
              </w:rPr>
              <w:t xml:space="preserve">Middle East; North Africa</w:t>
            </w:r>
          </w:p>
        </w:tc>
      </w:tr>
      <w:tr>
        <w:trPr>
          <w:tblHeader w:val="false"/>
        </w:trPr>
        <w:tc>
          <w:tcPr>
            <w:tcW w:type="dxa" w:w="2600"/>
            <w:shd w:fill="FAFAFA" w:val="clear"/>
            <w:tcMar>
              <w:top w:type="dxa" w:w="55"/>
              <w:left w:type="dxa" w:w="100"/>
              <w:bottom w:type="dxa" w:w="55"/>
              <w:right w:type="dxa" w:w="100"/>
            </w:tcMar>
          </w:tcPr>
          <w:p>
            <w:r>
              <w:rPr>
                <w:b w:val="false"/>
                <w:bCs w:val="false"/>
                <w:sz w:val="19"/>
                <w:szCs w:val="19"/>
              </w:rPr>
              <w:t xml:space="preserve">East &amp; Southeast Asia</w:t>
            </w:r>
          </w:p>
        </w:tc>
        <w:tc>
          <w:tcPr>
            <w:tcW w:type="dxa" w:w="1500"/>
            <w:shd w:fill="FAFAFA" w:val="clear"/>
            <w:tcMar>
              <w:top w:type="dxa" w:w="55"/>
              <w:left w:type="dxa" w:w="100"/>
              <w:bottom w:type="dxa" w:w="55"/>
              <w:right w:type="dxa" w:w="100"/>
            </w:tcMar>
          </w:tcPr>
          <w:p>
            <w:r>
              <w:rPr>
                <w:b w:val="false"/>
                <w:bCs w:val="false"/>
                <w:sz w:val="19"/>
                <w:szCs w:val="19"/>
              </w:rPr>
              <w:t xml:space="preserve">5, 10</w:t>
            </w:r>
          </w:p>
        </w:tc>
        <w:tc>
          <w:tcPr>
            <w:tcW w:type="dxa" w:w="4926"/>
            <w:shd w:fill="FAFAFA" w:val="clear"/>
            <w:tcMar>
              <w:top w:type="dxa" w:w="55"/>
              <w:left w:type="dxa" w:w="100"/>
              <w:bottom w:type="dxa" w:w="55"/>
              <w:right w:type="dxa" w:w="100"/>
            </w:tcMar>
          </w:tcPr>
          <w:p>
            <w:r>
              <w:rPr>
                <w:b w:val="false"/>
                <w:bCs w:val="false"/>
                <w:sz w:val="19"/>
                <w:szCs w:val="19"/>
              </w:rPr>
              <w:t xml:space="preserve">East Asia; Southeast Asia</w:t>
            </w:r>
          </w:p>
        </w:tc>
      </w:tr>
      <w:tr>
        <w:trPr>
          <w:tblHeader w:val="false"/>
        </w:trPr>
        <w:tc>
          <w:tcPr>
            <w:tcW w:type="dxa" w:w="2600"/>
            <w:tcMar>
              <w:top w:type="dxa" w:w="55"/>
              <w:left w:type="dxa" w:w="100"/>
              <w:bottom w:type="dxa" w:w="55"/>
              <w:right w:type="dxa" w:w="100"/>
            </w:tcMar>
          </w:tcPr>
          <w:p>
            <w:r>
              <w:rPr>
                <w:b w:val="false"/>
                <w:bCs w:val="false"/>
                <w:sz w:val="19"/>
                <w:szCs w:val="19"/>
              </w:rPr>
              <w:t xml:space="preserve">South Asia</w:t>
            </w:r>
          </w:p>
        </w:tc>
        <w:tc>
          <w:tcPr>
            <w:tcW w:type="dxa" w:w="1500"/>
            <w:tcMar>
              <w:top w:type="dxa" w:w="55"/>
              <w:left w:type="dxa" w:w="100"/>
              <w:bottom w:type="dxa" w:w="55"/>
              <w:right w:type="dxa" w:w="100"/>
            </w:tcMar>
          </w:tcPr>
          <w:p>
            <w:r>
              <w:rPr>
                <w:b w:val="false"/>
                <w:bCs w:val="false"/>
                <w:sz w:val="19"/>
                <w:szCs w:val="19"/>
              </w:rPr>
              <w:t xml:space="preserve">4</w:t>
            </w:r>
          </w:p>
        </w:tc>
        <w:tc>
          <w:tcPr>
            <w:tcW w:type="dxa" w:w="4926"/>
            <w:tcMar>
              <w:top w:type="dxa" w:w="55"/>
              <w:left w:type="dxa" w:w="100"/>
              <w:bottom w:type="dxa" w:w="55"/>
              <w:right w:type="dxa" w:w="100"/>
            </w:tcMar>
          </w:tcPr>
          <w:p>
            <w:r>
              <w:rPr>
                <w:b w:val="false"/>
                <w:bCs w:val="false"/>
                <w:sz w:val="19"/>
                <w:szCs w:val="19"/>
              </w:rPr>
              <w:t xml:space="preserve">South Asia</w:t>
            </w:r>
          </w:p>
        </w:tc>
      </w:tr>
      <w:tr>
        <w:trPr>
          <w:tblHeader w:val="false"/>
        </w:trPr>
        <w:tc>
          <w:tcPr>
            <w:tcW w:type="dxa" w:w="2600"/>
            <w:shd w:fill="FAFAFA" w:val="clear"/>
            <w:tcMar>
              <w:top w:type="dxa" w:w="55"/>
              <w:left w:type="dxa" w:w="100"/>
              <w:bottom w:type="dxa" w:w="55"/>
              <w:right w:type="dxa" w:w="100"/>
            </w:tcMar>
          </w:tcPr>
          <w:p>
            <w:r>
              <w:rPr>
                <w:b w:val="false"/>
                <w:bCs w:val="false"/>
                <w:sz w:val="19"/>
                <w:szCs w:val="19"/>
              </w:rPr>
              <w:t xml:space="preserve">Sub-Saharan Africa</w:t>
            </w:r>
          </w:p>
        </w:tc>
        <w:tc>
          <w:tcPr>
            <w:tcW w:type="dxa" w:w="1500"/>
            <w:shd w:fill="FAFAFA" w:val="clear"/>
            <w:tcMar>
              <w:top w:type="dxa" w:w="55"/>
              <w:left w:type="dxa" w:w="100"/>
              <w:bottom w:type="dxa" w:w="55"/>
              <w:right w:type="dxa" w:w="100"/>
            </w:tcMar>
          </w:tcPr>
          <w:p>
            <w:r>
              <w:rPr>
                <w:b w:val="false"/>
                <w:bCs w:val="false"/>
                <w:sz w:val="19"/>
                <w:szCs w:val="19"/>
              </w:rPr>
              <w:t xml:space="preserve">3, 9, 14, 16</w:t>
            </w:r>
          </w:p>
        </w:tc>
        <w:tc>
          <w:tcPr>
            <w:tcW w:type="dxa" w:w="4926"/>
            <w:shd w:fill="FAFAFA" w:val="clear"/>
            <w:tcMar>
              <w:top w:type="dxa" w:w="55"/>
              <w:left w:type="dxa" w:w="100"/>
              <w:bottom w:type="dxa" w:w="55"/>
              <w:right w:type="dxa" w:w="100"/>
            </w:tcMar>
          </w:tcPr>
          <w:p>
            <w:r>
              <w:rPr>
                <w:b w:val="false"/>
                <w:bCs w:val="false"/>
                <w:sz w:val="19"/>
                <w:szCs w:val="19"/>
              </w:rPr>
              <w:t xml:space="preserve">West Africa; Southern Africa; Central Africa; East Africa</w:t>
            </w:r>
          </w:p>
        </w:tc>
      </w:tr>
      <w:tr>
        <w:trPr>
          <w:tblHeader w:val="false"/>
        </w:trPr>
        <w:tc>
          <w:tcPr>
            <w:tcW w:type="dxa" w:w="2600"/>
            <w:tcMar>
              <w:top w:type="dxa" w:w="55"/>
              <w:left w:type="dxa" w:w="100"/>
              <w:bottom w:type="dxa" w:w="55"/>
              <w:right w:type="dxa" w:w="100"/>
            </w:tcMar>
          </w:tcPr>
          <w:p>
            <w:r>
              <w:rPr>
                <w:b w:val="false"/>
                <w:bCs w:val="false"/>
                <w:sz w:val="19"/>
                <w:szCs w:val="19"/>
              </w:rPr>
              <w:t xml:space="preserve">North America</w:t>
            </w:r>
          </w:p>
        </w:tc>
        <w:tc>
          <w:tcPr>
            <w:tcW w:type="dxa" w:w="1500"/>
            <w:tcMar>
              <w:top w:type="dxa" w:w="55"/>
              <w:left w:type="dxa" w:w="100"/>
              <w:bottom w:type="dxa" w:w="55"/>
              <w:right w:type="dxa" w:w="100"/>
            </w:tcMar>
          </w:tcPr>
          <w:p>
            <w:r>
              <w:rPr>
                <w:b w:val="false"/>
                <w:bCs w:val="false"/>
                <w:sz w:val="19"/>
                <w:szCs w:val="19"/>
              </w:rPr>
              <w:t xml:space="preserve">6</w:t>
            </w:r>
          </w:p>
        </w:tc>
        <w:tc>
          <w:tcPr>
            <w:tcW w:type="dxa" w:w="4926"/>
            <w:tcMar>
              <w:top w:type="dxa" w:w="55"/>
              <w:left w:type="dxa" w:w="100"/>
              <w:bottom w:type="dxa" w:w="55"/>
              <w:right w:type="dxa" w:w="100"/>
            </w:tcMar>
          </w:tcPr>
          <w:p>
            <w:r>
              <w:rPr>
                <w:b w:val="false"/>
                <w:bCs w:val="false"/>
                <w:sz w:val="19"/>
                <w:szCs w:val="19"/>
              </w:rPr>
              <w:t xml:space="preserve">North America</w:t>
            </w:r>
          </w:p>
        </w:tc>
      </w:tr>
      <w:tr>
        <w:trPr>
          <w:tblHeader w:val="false"/>
        </w:trPr>
        <w:tc>
          <w:tcPr>
            <w:tcW w:type="dxa" w:w="2600"/>
            <w:shd w:fill="FAFAFA" w:val="clear"/>
            <w:tcMar>
              <w:top w:type="dxa" w:w="55"/>
              <w:left w:type="dxa" w:w="100"/>
              <w:bottom w:type="dxa" w:w="55"/>
              <w:right w:type="dxa" w:w="100"/>
            </w:tcMar>
          </w:tcPr>
          <w:p>
            <w:r>
              <w:rPr>
                <w:b w:val="false"/>
                <w:bCs w:val="false"/>
                <w:sz w:val="19"/>
                <w:szCs w:val="19"/>
              </w:rPr>
              <w:t xml:space="preserve">Latin America &amp; Caribbean</w:t>
            </w:r>
          </w:p>
        </w:tc>
        <w:tc>
          <w:tcPr>
            <w:tcW w:type="dxa" w:w="1500"/>
            <w:shd w:fill="FAFAFA" w:val="clear"/>
            <w:tcMar>
              <w:top w:type="dxa" w:w="55"/>
              <w:left w:type="dxa" w:w="100"/>
              <w:bottom w:type="dxa" w:w="55"/>
              <w:right w:type="dxa" w:w="100"/>
            </w:tcMar>
          </w:tcPr>
          <w:p>
            <w:r>
              <w:rPr>
                <w:b w:val="false"/>
                <w:bCs w:val="false"/>
                <w:sz w:val="19"/>
                <w:szCs w:val="19"/>
              </w:rPr>
              <w:t xml:space="preserve">7, 13, 17</w:t>
            </w:r>
          </w:p>
        </w:tc>
        <w:tc>
          <w:tcPr>
            <w:tcW w:type="dxa" w:w="4926"/>
            <w:shd w:fill="FAFAFA" w:val="clear"/>
            <w:tcMar>
              <w:top w:type="dxa" w:w="55"/>
              <w:left w:type="dxa" w:w="100"/>
              <w:bottom w:type="dxa" w:w="55"/>
              <w:right w:type="dxa" w:w="100"/>
            </w:tcMar>
          </w:tcPr>
          <w:p>
            <w:r>
              <w:rPr>
                <w:b w:val="false"/>
                <w:bCs w:val="false"/>
                <w:sz w:val="19"/>
                <w:szCs w:val="19"/>
              </w:rPr>
              <w:t xml:space="preserve">Central America; South America; Caribbean</w:t>
            </w:r>
          </w:p>
        </w:tc>
      </w:tr>
      <w:tr>
        <w:trPr>
          <w:tblHeader w:val="false"/>
        </w:trPr>
        <w:tc>
          <w:tcPr>
            <w:tcW w:type="dxa" w:w="2600"/>
            <w:tcMar>
              <w:top w:type="dxa" w:w="55"/>
              <w:left w:type="dxa" w:w="100"/>
              <w:bottom w:type="dxa" w:w="55"/>
              <w:right w:type="dxa" w:w="100"/>
            </w:tcMar>
          </w:tcPr>
          <w:p>
            <w:r>
              <w:rPr>
                <w:b w:val="false"/>
                <w:bCs w:val="false"/>
                <w:sz w:val="19"/>
                <w:szCs w:val="19"/>
              </w:rPr>
              <w:t xml:space="preserve">— outside the eight —</w:t>
            </w:r>
          </w:p>
        </w:tc>
        <w:tc>
          <w:tcPr>
            <w:tcW w:type="dxa" w:w="1500"/>
            <w:tcMar>
              <w:top w:type="dxa" w:w="55"/>
              <w:left w:type="dxa" w:w="100"/>
              <w:bottom w:type="dxa" w:w="55"/>
              <w:right w:type="dxa" w:w="100"/>
            </w:tcMar>
          </w:tcPr>
          <w:p>
            <w:r>
              <w:rPr>
                <w:b w:val="false"/>
                <w:bCs w:val="false"/>
                <w:sz w:val="19"/>
                <w:szCs w:val="19"/>
              </w:rPr>
              <w:t xml:space="preserve">12, 18</w:t>
            </w:r>
          </w:p>
        </w:tc>
        <w:tc>
          <w:tcPr>
            <w:tcW w:type="dxa" w:w="4926"/>
            <w:tcMar>
              <w:top w:type="dxa" w:w="55"/>
              <w:left w:type="dxa" w:w="100"/>
              <w:bottom w:type="dxa" w:w="55"/>
              <w:right w:type="dxa" w:w="100"/>
            </w:tcMar>
          </w:tcPr>
          <w:p>
            <w:r>
              <w:rPr>
                <w:b w:val="false"/>
                <w:bCs w:val="false"/>
                <w:sz w:val="19"/>
                <w:szCs w:val="19"/>
              </w:rPr>
              <w:t xml:space="preserve">Central Asia; South Pacific</w:t>
            </w:r>
          </w:p>
        </w:tc>
      </w:tr>
    </w:tbl>
    <w:p>
      <w:pPr>
        <w:spacing w:after="150"/>
        <w:jc w:val="both"/>
      </w:pPr>
      <w:r>
        <w:t xml:space="preserve">Two sub-regions, Central Asia and the South Pacific, fall outside the eight analytical regions. The 21 participations coded to them are excluded from the regional analysis but remain in the shared data.</w:t>
      </w:r>
    </w:p>
    <w:p>
      <w:pPr>
        <w:spacing w:after="150"/>
        <w:jc w:val="both"/>
      </w:pPr>
      <w:r>
        <w:t xml:space="preserve">Sub-regions 8 and 11 are merged into a single Eastern Europe. An earlier version of this coding distinguished a post-1990 Eastern Europe and migrated states between categories at the end of the Cold War. We do not do so here: the post-1990 category has no pre-1950 baseline and therefore cannot support the before-and-after comparison the analysis requires, and migrating states out of Eastern Europe after 1990 would remove post-communist wars from the region by definition rather than by observation.</w:t>
      </w:r>
    </w:p>
    <w:p>
      <w:pPr>
        <w:pStyle w:val="Heading1"/>
        <w:spacing w:after="150" w:before="340"/>
      </w:pPr>
      <w:r>
        <w:t xml:space="preserve">A1.4  Membership: recognised states</w:t>
      </w:r>
    </w:p>
    <w:p>
      <w:pPr>
        <w:spacing w:after="110"/>
        <w:ind w:left="400" w:hanging="400"/>
        <w:jc w:val="both"/>
      </w:pPr>
      <w:r>
        <w:rPr>
          <w:b/>
          <w:bCs/>
        </w:rPr>
        <w:t xml:space="preserve">1. Europe  </w:t>
      </w:r>
      <w:r>
        <w:t xml:space="preserve">Austria, Belgium, Cyprus, Denmark, Finland, France, Germany, Greece, Ireland, Italy, Netherlands, Norway, Portugal, Spain, Sweden, Switzerland, United Kingdom. Historical members: Austria-Hungary, Baden, Bavaria, Hanover, Papal States, Sardinia, Saxony, Two Sicilies, Württemberg.</w:t>
      </w:r>
    </w:p>
    <w:p>
      <w:pPr>
        <w:spacing w:after="110"/>
        <w:ind w:left="400" w:hanging="400"/>
        <w:jc w:val="both"/>
      </w:pPr>
      <w:r>
        <w:rPr>
          <w:b/>
          <w:bCs/>
        </w:rPr>
        <w:t xml:space="preserve">8. Eastern Europe  </w:t>
      </w:r>
      <w:r>
        <w:t xml:space="preserve">Albania, Bulgaria, Croatia, Czech Republic, Estonia, Hungary, Latvia, Lithuania, Northern Macedonia, Poland, Romania, Russia, Serbia, Slovakia, Slovenia. Historical members: Czechoslovakia, Montenegro, Soviet Union, Yugoslavia.</w:t>
      </w:r>
    </w:p>
    <w:p>
      <w:pPr>
        <w:spacing w:after="110"/>
        <w:ind w:left="400" w:hanging="400"/>
        <w:jc w:val="both"/>
      </w:pPr>
      <w:r>
        <w:rPr>
          <w:b/>
          <w:bCs/>
        </w:rPr>
        <w:t xml:space="preserve">11. Post-Cold-War E. Europe  </w:t>
      </w:r>
      <w:r>
        <w:t xml:space="preserve">Armenia, Azerbaijan, Belarus, Bosnia, Georgia, Moldova, Ukraine. (Merged into Eastern Europe for analysis; see A1.3.)</w:t>
      </w:r>
    </w:p>
    <w:p>
      <w:pPr>
        <w:spacing w:after="110"/>
        <w:ind w:left="400" w:hanging="400"/>
        <w:jc w:val="both"/>
      </w:pPr>
      <w:r>
        <w:rPr>
          <w:b/>
          <w:bCs/>
        </w:rPr>
        <w:t xml:space="preserve">2. Middle East  </w:t>
      </w:r>
      <w:r>
        <w:t xml:space="preserve">Bahrain, Egypt, Iran, Iraq, Israel, Jordan, Kuwait, Lebanon, Oman, Qatar, Saudi Arabia, Syria, Turkey, United Arab Emirates, Yemen. The Ottoman Empire is coded here throughout.</w:t>
      </w:r>
    </w:p>
    <w:p>
      <w:pPr>
        <w:spacing w:after="110"/>
        <w:ind w:left="400" w:hanging="400"/>
        <w:jc w:val="both"/>
      </w:pPr>
      <w:r>
        <w:rPr>
          <w:b/>
          <w:bCs/>
        </w:rPr>
        <w:t xml:space="preserve">15. North Africa  </w:t>
      </w:r>
      <w:r>
        <w:t xml:space="preserve">Algeria, Libya, Morocco, Tunisia.</w:t>
      </w:r>
    </w:p>
    <w:p>
      <w:pPr>
        <w:spacing w:after="110"/>
        <w:ind w:left="400" w:hanging="400"/>
        <w:jc w:val="both"/>
      </w:pPr>
      <w:r>
        <w:rPr>
          <w:b/>
          <w:bCs/>
        </w:rPr>
        <w:t xml:space="preserve">5. East Asia  </w:t>
      </w:r>
      <w:r>
        <w:t xml:space="preserve">China, Japan, Mongolia, North Korea, South Korea, Taiwan.</w:t>
      </w:r>
    </w:p>
    <w:p>
      <w:pPr>
        <w:spacing w:after="110"/>
        <w:ind w:left="400" w:hanging="400"/>
        <w:jc w:val="both"/>
      </w:pPr>
      <w:r>
        <w:rPr>
          <w:b/>
          <w:bCs/>
        </w:rPr>
        <w:t xml:space="preserve">10. Southeast Asia  </w:t>
      </w:r>
      <w:r>
        <w:t xml:space="preserve">Cambodia, Indonesia, Laos, Malaysia, Myanmar, Philippines, Singapore, Thailand, Timor-Leste, Vietnam.</w:t>
      </w:r>
    </w:p>
    <w:p>
      <w:pPr>
        <w:spacing w:after="110"/>
        <w:ind w:left="400" w:hanging="400"/>
        <w:jc w:val="both"/>
      </w:pPr>
      <w:r>
        <w:rPr>
          <w:b/>
          <w:bCs/>
        </w:rPr>
        <w:t xml:space="preserve">4. South Asia  </w:t>
      </w:r>
      <w:r>
        <w:t xml:space="preserve">Afghanistan, Bangladesh, India, Nepal, Pakistan, Sri Lanka.</w:t>
      </w:r>
    </w:p>
    <w:p>
      <w:pPr>
        <w:spacing w:after="110"/>
        <w:ind w:left="400" w:hanging="400"/>
        <w:jc w:val="both"/>
      </w:pPr>
      <w:r>
        <w:rPr>
          <w:b/>
          <w:bCs/>
        </w:rPr>
        <w:t xml:space="preserve">6. North America  </w:t>
      </w:r>
      <w:r>
        <w:t xml:space="preserve">Canada, Mexico, United States.</w:t>
      </w:r>
    </w:p>
    <w:p>
      <w:pPr>
        <w:spacing w:after="110"/>
        <w:ind w:left="400" w:hanging="400"/>
        <w:jc w:val="both"/>
      </w:pPr>
      <w:r>
        <w:rPr>
          <w:b/>
          <w:bCs/>
        </w:rPr>
        <w:t xml:space="preserve">13. South America  </w:t>
      </w:r>
      <w:r>
        <w:t xml:space="preserve">Argentina, Bolivia, Brazil, Chile, Colombia, Ecuador, Guyana, Paraguay, Peru, Uruguay, Venezuela.</w:t>
      </w:r>
    </w:p>
    <w:p>
      <w:pPr>
        <w:spacing w:after="110"/>
        <w:ind w:left="400" w:hanging="400"/>
        <w:jc w:val="both"/>
      </w:pPr>
      <w:r>
        <w:rPr>
          <w:b/>
          <w:bCs/>
        </w:rPr>
        <w:t xml:space="preserve">7. Central America  </w:t>
      </w:r>
      <w:r>
        <w:t xml:space="preserve">Belize, Costa Rica, El Salvador, Guatemala, Honduras, Nicaragua, Panama.</w:t>
      </w:r>
    </w:p>
    <w:p>
      <w:pPr>
        <w:spacing w:after="110"/>
        <w:ind w:left="400" w:hanging="400"/>
        <w:jc w:val="both"/>
      </w:pPr>
      <w:r>
        <w:rPr>
          <w:b/>
          <w:bCs/>
        </w:rPr>
        <w:t xml:space="preserve">17. Caribbean  </w:t>
      </w:r>
      <w:r>
        <w:t xml:space="preserve">Bahamas, Barbados, Cuba, Dominican Republic, Grenada, Haiti, Jamaica.</w:t>
      </w:r>
    </w:p>
    <w:p>
      <w:pPr>
        <w:spacing w:after="110"/>
        <w:ind w:left="400" w:hanging="400"/>
        <w:jc w:val="both"/>
      </w:pPr>
      <w:r>
        <w:rPr>
          <w:b/>
          <w:bCs/>
        </w:rPr>
        <w:t xml:space="preserve">16. East Africa  </w:t>
      </w:r>
      <w:r>
        <w:t xml:space="preserve">Djibouti, Eritrea, Ethiopia, Kenya, Madagascar, Mauritius, Somalia, Tanzania, Uganda.</w:t>
      </w:r>
    </w:p>
    <w:p>
      <w:pPr>
        <w:spacing w:after="110"/>
        <w:ind w:left="400" w:hanging="400"/>
        <w:jc w:val="both"/>
      </w:pPr>
      <w:r>
        <w:rPr>
          <w:b/>
          <w:bCs/>
        </w:rPr>
        <w:t xml:space="preserve">14. Central Africa  </w:t>
      </w:r>
      <w:r>
        <w:t xml:space="preserve">Burundi, Central African Republic, Chad, Congo (Brazzaville), Democratic Republic of Congo, Rwanda, South Sudan, Sudan.</w:t>
      </w:r>
    </w:p>
    <w:p>
      <w:pPr>
        <w:spacing w:after="110"/>
        <w:ind w:left="400" w:hanging="400"/>
        <w:jc w:val="both"/>
      </w:pPr>
      <w:r>
        <w:rPr>
          <w:b/>
          <w:bCs/>
        </w:rPr>
        <w:t xml:space="preserve">9. Southern Africa  </w:t>
      </w:r>
      <w:r>
        <w:t xml:space="preserve">Angola, Botswana, Lesotho, Malawi, Mozambique, Namibia, South Africa, Swaziland, Zambia, Zimbabwe.</w:t>
      </w:r>
    </w:p>
    <w:p>
      <w:pPr>
        <w:spacing w:after="110"/>
        <w:ind w:left="400" w:hanging="400"/>
        <w:jc w:val="both"/>
      </w:pPr>
      <w:r>
        <w:rPr>
          <w:b/>
          <w:bCs/>
        </w:rPr>
        <w:t xml:space="preserve">3. West Africa  </w:t>
      </w:r>
      <w:r>
        <w:t xml:space="preserve">Benin, Burkina Faso, Cameroon, Equatorial Guinea, Gambia, Ghana, Guinea, Ivory Coast, Liberia, Mali, Mauritania, Niger, Nigeria, Sierra Leone, Togo.</w:t>
      </w:r>
    </w:p>
    <w:p>
      <w:pPr>
        <w:spacing w:after="110"/>
        <w:ind w:left="400" w:hanging="400"/>
        <w:jc w:val="both"/>
      </w:pPr>
      <w:r>
        <w:rPr>
          <w:b/>
          <w:bCs/>
        </w:rPr>
        <w:t xml:space="preserve">12. Central Asia  </w:t>
      </w:r>
      <w:r>
        <w:t xml:space="preserve">Kazakhstan, Kyrgyzstan, Tajikistan, Uzbekistan. Outside the eight analytical regions.</w:t>
      </w:r>
    </w:p>
    <w:p>
      <w:pPr>
        <w:spacing w:after="110"/>
        <w:ind w:left="400" w:hanging="400"/>
        <w:jc w:val="both"/>
      </w:pPr>
      <w:r>
        <w:rPr>
          <w:b/>
          <w:bCs/>
        </w:rPr>
        <w:t xml:space="preserve">18. South Pacific  </w:t>
      </w:r>
      <w:r>
        <w:t xml:space="preserve">Australia, Fiji, New Zealand, Papua New Guinea. Outside the eight analytical regions.</w:t>
      </w:r>
    </w:p>
    <w:p>
      <w:pPr>
        <w:pStyle w:val="Heading1"/>
        <w:spacing w:after="150" w:before="340"/>
      </w:pPr>
      <w:r>
        <w:t xml:space="preserve">A1.5  Membership: non-state, historical and superseded belligerents</w:t>
      </w:r>
    </w:p>
    <w:p>
      <w:pPr>
        <w:spacing w:after="150"/>
        <w:jc w:val="both"/>
      </w:pPr>
      <w:r>
        <w:t xml:space="preserve">Listed by analytical region. Where the same entity appears under variant spellings in the source data, both forms are given.</w:t>
      </w:r>
    </w:p>
    <w:p>
      <w:pPr>
        <w:spacing w:after="110"/>
        <w:ind w:left="400" w:hanging="400"/>
        <w:jc w:val="both"/>
      </w:pPr>
      <w:r>
        <w:rPr>
          <w:b/>
          <w:bCs/>
        </w:rPr>
        <w:t xml:space="preserve">Europe  (13)  </w:t>
      </w:r>
      <w:r>
        <w:t xml:space="preserve">Communists; Constitutionalists; German East Africa Company; Italy (Kingdom of Sardinia); Kingdom of Naples; Kingdom of Sardinia; Nationalists; Red Finland; Republic of Venice; Roman Republic; Sardinia; Sicily; Wurttemberg.</w:t>
      </w:r>
    </w:p>
    <w:p>
      <w:pPr>
        <w:spacing w:after="110"/>
        <w:ind w:left="400" w:hanging="400"/>
        <w:jc w:val="both"/>
      </w:pPr>
      <w:r>
        <w:rPr>
          <w:b/>
          <w:bCs/>
        </w:rPr>
        <w:t xml:space="preserve">Eastern Europe  (13)  </w:t>
      </w:r>
      <w:r>
        <w:t xml:space="preserve">Azerbaijan Democratic Republic; Baron von Ungern-Sternbergs White army; Bosnia; Congress Poland; Democratic Republic of Armenia; Krajinia Serbs; South Ossetia; Transnistria; West Ukrainian People's Republic; White Don Army; White Siberian Army; White Volunter Army/Armed Forces of South Russia; Yugoslavia/Serbia (Corfu Declaration).</w:t>
      </w:r>
    </w:p>
    <w:p>
      <w:pPr>
        <w:spacing w:after="110"/>
        <w:ind w:left="400" w:hanging="400"/>
        <w:jc w:val="both"/>
      </w:pPr>
      <w:r>
        <w:rPr>
          <w:b/>
          <w:bCs/>
        </w:rPr>
        <w:t xml:space="preserve">Middle East &amp; North Africa  (32)  </w:t>
      </w:r>
      <w:r>
        <w:t xml:space="preserve">Algerian forces; Amal (Movement of the Disinherited); Anti-Imam Coalition; Arabs; Asir'; Barbary States; Beni Aseer tribe; Berbers; Damascus &amp; Aleppo; Democratic Republic of Yemen (DRY); Druze; First Saudi State; Hadendowa; Hashemite Kingdom; Hezbollah; House of Saud; Kabylia; Lebanese Front (Phalangists); Lebanese National Movement; Leftist Factions; Maronites; Mutawakelite Kingdom of Yemen; National Transition Council; Palestinians; Progressive Socialist Party; Republic of the Rif; Rif Confederacy; Sanusi tribe; Sidon; Syrians; Yemeni State (until 1872); Zionists.</w:t>
      </w:r>
    </w:p>
    <w:p>
      <w:pPr>
        <w:spacing w:after="110"/>
        <w:ind w:left="400" w:hanging="400"/>
        <w:jc w:val="both"/>
      </w:pPr>
      <w:r>
        <w:rPr>
          <w:b/>
          <w:bCs/>
        </w:rPr>
        <w:t xml:space="preserve">East &amp; Southeast Asia  (52)  </w:t>
      </w:r>
      <w:r>
        <w:t xml:space="preserve">Aceh; Aceh Sultanate; Anhui; Apodeti; Bali; Bogd Khanate; Bone; Chinese Revolutionary Alliance; Communist Party of China; Democratic Republic of Vietnam; Fengtian Clique (Manchuria); Five Provinces Alliance; Fretilin; Guangxi Clique; Han; Hmong; Jahriyya Order of Gansu; Jahriyya Order of Hezhou; Jahriyya Order of Suzhou; Javanese rebels; Karen &amp; Kachin Rebels; Karens &amp; Communists; Kashgaria; Kedah; Khmer Rouge; Khmer Rouge &amp; KPNFL; Kingdom of Cambodia (Khmer); Kuchea; Kuominchun/Guominjun; Kuomintang; Lao Kingdom of Vientiane; Miao; NLF; National Protection Army; Nien Movement; Pathet Lao; People's Republic of Korea; Pro-democracy; Republic of Formosa; Republic of Korea; Satsuma Prefecture; Second East Turkestan Republic; Shanxi Clique; Siam; Taiping Heavenly Kingdom; Tibet; UDT; Urumchi Dungans; Vietminh; Vietnam (Indochina); Vietnam, Black Flag; Zhili Clique (Zhili Province).</w:t>
      </w:r>
    </w:p>
    <w:p>
      <w:pPr>
        <w:spacing w:after="110"/>
        <w:ind w:left="400" w:hanging="400"/>
        <w:jc w:val="both"/>
      </w:pPr>
      <w:r>
        <w:rPr>
          <w:b/>
          <w:bCs/>
        </w:rPr>
        <w:t xml:space="preserve">South Asia  (19)  </w:t>
      </w:r>
      <w:r>
        <w:t xml:space="preserve">Baratphur Princely State; Bengalis; Durrani Empire; Gwalior; Herat; Hyderabad; Islamic State of Afghanistan; Jammu (Dogra Dynasty); Kandyan rebels; Kingdom of Kabul; LTTE; Maratha Confederacy; Muhajadin; Pathan tribe; Sepoy Rebel Movement; Sikh Kingdom; Sindh; Taliban; Waziristan.</w:t>
      </w:r>
    </w:p>
    <w:p>
      <w:pPr>
        <w:spacing w:after="110"/>
        <w:ind w:left="400" w:hanging="400"/>
        <w:jc w:val="both"/>
      </w:pPr>
      <w:r>
        <w:rPr>
          <w:b/>
          <w:bCs/>
        </w:rPr>
        <w:t xml:space="preserve">Sub-Saharan Africa  (67)  </w:t>
      </w:r>
      <w:r>
        <w:t xml:space="preserve">Africans; Anya Nya; Ashanti; Ashanti Empire; Asin Confederacy; Bailundu of Angola; Bambara Empire of Karta; Bambara Empire of Segu; Bantu; Basuto; Boer Republics; Boer Trekkers; Boers; Bornu Empire; Buganda Tribe; Congo Arab Confederacy; Democratic Republic of Congo; ELF; EPLF; Egba Kingdom; Eritrean Peo. Lib.; FNLA; FNLC; Fante Confederacy; Gaza Empire; Hutu; Jolof/Tukulor; Juenesse warriors; Kabbah faction; Katanga &amp; Leftists; Kingdom of Dahomey; Kingdom of Ndebele; MPLA; Madagasar; Mahdist State; Mandinka; Mandinka Empire; Matabele; Merina Kingdom; Ninjas and Cocoye militias; Orange Free State; Ouaddai Empire; Patriotic Front; Provincial armies; Rabah Empire; Regional governments; Renamo; Republic of Biafra; Rwandan Patriotic Front; SWAPO-Namibia; Shaka Zulu; Sokoto Caliphate; Swahili; Tamba Empire; Tigray; Transvaal; Transvaal government; Tukolor Kingdom; Tutsi army; UNITA; UPC; Watusi; Xhosa; Zulu; Zulu Kingdom; Zulu tribe; rebel clans.</w:t>
      </w:r>
    </w:p>
    <w:p>
      <w:pPr>
        <w:spacing w:after="110"/>
        <w:ind w:left="400" w:hanging="400"/>
        <w:jc w:val="both"/>
      </w:pPr>
      <w:r>
        <w:rPr>
          <w:b/>
          <w:bCs/>
        </w:rPr>
        <w:t xml:space="preserve">North America  (2)  </w:t>
      </w:r>
      <w:r>
        <w:t xml:space="preserve">Confederate States of America; Texas.</w:t>
      </w:r>
    </w:p>
    <w:p>
      <w:pPr>
        <w:spacing w:after="110"/>
        <w:ind w:left="400" w:hanging="400"/>
        <w:jc w:val="both"/>
      </w:pPr>
      <w:r>
        <w:rPr>
          <w:b/>
          <w:bCs/>
        </w:rPr>
        <w:t xml:space="preserve">Latin America &amp; Caribbean  (29)  </w:t>
      </w:r>
      <w:r>
        <w:t xml:space="preserve">Anti-Rosas Allies; Buenos Aires; Congressist Junta; Conservative Confederation; Conservatives; Crillos; Entre Rios &amp; Corrientes (Argentine Unitarians); Esmeraldas province; First Republic of Venezuela; Gran Colombia; Juliana Republic; Junta of Buenos Aires; Leftists; Liberal Party of Colombia; Liberals; Liga del Interior/Unitarians; Liga del Litoral (Federal Pact); Matos Led Rebels; National Union Party; Paez led Conservatives; Peru-Bolivia Confederation; Piratini Republic; Provinces; Republic of Venezuela; Rosas Federalist Army; State of Tachira; The Democratic Front Against Repression (FDCR); Unitarios; Uruguay (Colorados).</w:t>
      </w:r>
    </w:p>
    <w:p>
      <w:pPr>
        <w:spacing w:after="110"/>
        <w:ind w:left="400" w:hanging="400"/>
        <w:jc w:val="both"/>
      </w:pPr>
      <w:r>
        <w:rPr>
          <w:b/>
          <w:bCs/>
        </w:rPr>
        <w:t xml:space="preserve">Outside the eight regions  (9)  </w:t>
      </w:r>
      <w:r>
        <w:t xml:space="preserve">Basmachi/Enver Pasha; Bukhara; First East Turkestan Republic; Khiva; Khoqand; New Zealand Maori; Teke Turcomen; Tungan 36th Division; United Tajik Opposition.</w:t>
      </w:r>
    </w:p>
    <w:p>
      <w:pPr>
        <w:pStyle w:val="Heading1"/>
        <w:spacing w:after="150" w:before="340"/>
      </w:pPr>
      <w:r>
        <w:t xml:space="preserve">A1.6  Level of regional detail in the shared data</w:t>
      </w:r>
    </w:p>
    <w:p>
      <w:pPr>
        <w:spacing w:after="150"/>
        <w:jc w:val="both"/>
      </w:pPr>
      <w:r>
        <w:t xml:space="preserve">The regional variable in the shared data distinguishes eighteen sub-regions rather than the eight regions used in the analysis. The finer coding was carried out first; we aggregated to eight at the analysis stage, having judged eighteen too many to support informative comparisons given the number of participations available in each. We share the sub-regional coding rather than only the aggregates, so that others can reproduce our groupings, adopt different ones, or work at the sub-regional level directly. The variable region holds the sub-region; region_group holds the analytical region and is populated for every observation.</w:t>
      </w:r>
    </w:p>
    <w:p>
      <w:pPr>
        <w:pStyle w:val="Heading1"/>
        <w:spacing w:after="150" w:before="340"/>
      </w:pPr>
      <w:r>
        <w:t xml:space="preserve">A1.7  Data provenance</w:t>
      </w:r>
    </w:p>
    <w:p>
      <w:pPr>
        <w:spacing w:after="150"/>
        <w:jc w:val="both"/>
      </w:pPr>
      <w:r>
        <w:t>The data we share are Jason Lyall's Project Mars, version 1.1, with two modifications. First, we have added a single variable, region, giving the regional assignment of each campaign-belligerent participation under the scheme described above; no other variable in Lyall's data has been altered. Second, we have appended campaign-belligerent participations drawn from the Correlates of War project, which follow the 825 Project Mars observations. The shared file contains 283 appended rows covering all 124 cases proposed by Gibler and Miller; 29 of those rows, covering 11 cases, are excluded from the analysis for the reason given below, leaving 254 appended rows and 113 cases in use.</w:t>
      </w:r>
    </w:p>
    <w:p>
      <w:pPr>
        <w:spacing w:after="150"/>
        <w:jc w:val="both"/>
      </w:pPr>
      <w:r>
        <w:t>The appended cases are those listed by Gibler and Miller as conventional wars recorded by Correlates of War but omitted from Project Mars. We take no position on the disagreement between them and Lyall over the coverage of Project Mars, and we therefore share all of their cases rather than excluding any on our own judgement of whether a conflict was conventional. Each case was matched by war number to its participant records across five Correlates of War datasets: Inter-State War Data v4.0, Extra-State War Data v4.0, Intra-State War Data v4.1, Non-State War Data v4.0, and the Militarized Interstate Disputes participant file, MIDB v5.0. Belligerent names follow Correlates of War State System Membership v2024. Regional assignments for the appended cases follow the same principle as for the Project Mars observations. Dropping the militarized interstate disputes removes no belligerent from the data: every entity listed in A1.4 and A1.5 also appears in a war case, and the count of participations falling outside the eight analytical regions is unchanged at 21.</w:t>
      </w:r>
    </w:p>
    <w:p>
      <w:pPr>
        <w:spacing w:after="150"/>
        <w:jc w:val="both"/>
      </w:pPr>
      <w:r>
        <w:t>The eleven militarized interstate disputes are excluded from all analyses, though they remain in the shared file so that others may reinstate them. Project Mars applies a 500 battle-death threshold and the Correlates of War war files apply 1,000, so the appended war cases enter at the higher threshold. No sub-1,000 enumeration exists for intra-state, extra-state or non-state conflict, so including the disputes would apply a 500-death floor to interstate conflict alone and a 1,000-death floor to every other kind. The disputes are also a targeted subset rather than a census, and the 500-999 fatality band of the dispute data is the range that Gibler, Miller and Little document as error-prone. Their inclusion makes no material difference to any result we report.</w:t>
      </w:r>
    </w:p>
    <w:p>
      <w:pPr>
        <w:spacing w:after="150"/>
        <w:jc w:val="both"/>
      </w:pPr>
      <w:r>
        <w:t>The two sources are not coded to an identical unit. Project Mars divides wars into campaigns and records one observation per belligerent per campaign, whereas the appended cases are recorded at the level of the war. The two are comparable in kind but not exactly, and the coarser grain of the appended cases means they carry somewhat less weight in the counts than an equivalent set of Project Mars wars would. Collapsing the Project Mars campaigns to wars, so that both sources are counted at the same grain, leaves every regional finding unchanged in the first two panels described below.</w:t>
      </w:r>
    </w:p>
    <w:p>
      <w:pPr>
        <w:spacing w:after="150"/>
        <w:jc w:val="both"/>
      </w:pPr>
      <w:r>
        <w:t xml:space="preserve">For the appended cases the fatality variable is taken from the Correlates of War per-participant figure, which is reported as a single value rather than a range, so the low and high estimates coincide. Where Correlates of War records no fatality figure the field is left empty; such observations enter analyses that do not filter on fatalities and drop out of those that do. Eight rows in the Correlates of War source files carry no belligerent name and are omitted, no regional assignment being possible.</w:t>
      </w:r>
    </w:p>
    <w:p>
      <w:pPr>
        <w:pStyle w:val="Heading1"/>
        <w:spacing w:after="150" w:before="340"/>
      </w:pPr>
      <w:r>
        <w:t>A1.8  Analytical panels</w:t>
      </w:r>
    </w:p>
    <w:p>
      <w:pPr>
        <w:spacing w:after="150"/>
        <w:jc w:val="both"/>
      </w:pPr>
      <w:r>
        <w:t>Because the status of the appended cases is disputed, and disputed unevenly across categories, the analysis reports three nested panels rather than a single augmented sample. The first uses the 825 Project Mars observations alone. The second adds the appended cases that are not civil wars, which in Correlates of War terms are the extra-state, non-state and inter-state additions. The third adds the Correlates of War intra-state cases as well. Militarized interstate disputes are excluded from all three.</w:t>
      </w:r>
    </w:p>
    <w:p>
      <w:pPr>
        <w:spacing w:after="150"/>
        <w:jc w:val="both"/>
      </w:pPr>
      <w:r>
        <w:t>The ordering reflects an asymmetry in the published exchange rather than a judgement of our own. For the extra-state and non-state additions Lyall has published no exclusion list and has not responded to the proposal; we draw no inference from that silence. For the intra-state wars he has published a list, reviewed the cases against his conventionality criterion and rejected them with stated reasons. We take no position on whether that criterion is correctly drawn.</w:t>
      </w:r>
    </w:p>
    <w:p>
      <w:pPr>
        <w:spacing w:after="150"/>
        <w:jc w:val="both"/>
      </w:pPr>
      <w:r>
        <w:t>The panels are nested, so the second differs from the first only by the addition of the non-civil-war cases and the third only by the further addition of the civil wars. Panel membership is recoverable from the shared file: source distinguishes Project Mars from appended rows, and cow_dataset gives the Correlates of War file each appended row was drawn from, so the three panels can be reconstructed without reference to any variable of our own construction.</w:t>
      </w:r>
    </w:p>
    <w:p>
      <w:pPr>
        <w:pStyle w:val="Heading1"/>
        <w:spacing w:after="150" w:before="340"/>
      </w:pPr>
      <w:r>
        <w:t>A1.9  Verification of the regional coding</w:t>
      </w:r>
    </w:p>
    <w:p>
      <w:pPr>
        <w:spacing w:after="150"/>
        <w:jc w:val="both"/>
      </w:pPr>
      <w:r>
        <w:t xml:space="preserve">The regional coding was audited with the assistance of Claude, an AI assistant made by Anthropic, which was used to run consistency checks that the authors then reviewed and adjudicated. Three checks were applied, each capable of detecting errors the others could not. The first tests whether each belligerent occupies a single region, which identifies isolated deviations. The second tests each recognised state's coding against the membership lists in A1.4, which identifies belligerents uniformly placed in the wrong region and so invisible to the first check. The third compares the coding against the campaign-theatre indicators carried within Project Mars itself; these diverge from our assignments only for belligerents capable of projecting force beyond their own region, and in every such case our coding follows the belligerent, which identifies errors among non-state belligerents that the second check cannot reach. All changes arising from these checks were made by the authors, who remain responsible for every coding decision in the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C3E50"/>
      <w:sz w:val="26"/>
      <w:szCs w:val="26"/>
    </w:rPr>
  </w:style>
  <w:style w:type="paragraph" w:styleId="Heading2">
    <w:name w:val="Heading 2"/>
    <w:basedOn w:val="Normal"/>
    <w:next w:val="Normal"/>
    <w:qFormat/>
    <w:rPr>
      <w:rFonts w:ascii="Calibri" w:cs="Calibri" w:eastAsia="Calibri" w:hAnsi="Calibri"/>
      <w:b/>
      <w:bCs/>
      <w:color w:val="34495E"/>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2026-08-03T10:03:51.780Z</dcterms:created>
  <dcterms:modified xsi:type="dcterms:W3CDTF">2026-08-03T10:03:51.795Z</dcterms:modified>
</cp:coreProperties>
</file>

<file path=docProps/custom.xml><?xml version="1.0" encoding="utf-8"?>
<Properties xmlns="http://schemas.openxmlformats.org/officeDocument/2006/custom-properties" xmlns:vt="http://schemas.openxmlformats.org/officeDocument/2006/docPropsVTypes"/>
</file>