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5E2CF820">
      <w:r w:rsidR="0E14F1B0">
        <w:rPr/>
        <w:t>The candidate highlights accomplishments aligned with campaign promises post-term: reduced inflation, lower interest rates, decreased crime, lowered taxes, rebuilt defenses, and boosted employment. They emphasize collab</w:t>
      </w:r>
      <w:r w:rsidR="5DB92186">
        <w:rPr/>
        <w:t xml:space="preserve">oration with the people to achieve these goals and advocate for lasting peace under the candidate’s proven leadership capabilities.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09D9F5"/>
    <w:rsid w:val="037A4C77"/>
    <w:rsid w:val="0A526F04"/>
    <w:rsid w:val="0E14F1B0"/>
    <w:rsid w:val="5112EC50"/>
    <w:rsid w:val="5809D9F5"/>
    <w:rsid w:val="5DB92186"/>
    <w:rsid w:val="60F0C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9D9F5"/>
  <w15:chartTrackingRefBased/>
  <w15:docId w15:val="{881F84DB-1197-411D-932B-D31D9DAC53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2024-02-27T01:46:28.7438142Z</dcterms:created>
  <dcterms:modified xsi:type="dcterms:W3CDTF">2024-02-27T01:53:51.3123210Z</dcterms:modified>
  <dc:creator>Ki, Yunseo Y</dc:creator>
  <lastModifiedBy>Ki, Yunseo Y</lastModifiedBy>
</coreProperties>
</file>