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5D76" w14:textId="1DE05401" w:rsidR="004E1410" w:rsidRDefault="004B6A39">
      <w:r>
        <w:t xml:space="preserve">A spokesperson for the candidate admits that despite considerable support in a previous election, the candidate’s campaign lagged begin financially compared to the well-funding winning opponent. They urge supporters to contribute to the candidate’s campaign, ensuring a fair chance at victory. </w:t>
      </w:r>
    </w:p>
    <w:sectPr w:rsidR="004E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10"/>
    <w:rsid w:val="004B6A39"/>
    <w:rsid w:val="004E1410"/>
    <w:rsid w:val="005A7945"/>
    <w:rsid w:val="00C2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9A6E8"/>
  <w15:chartTrackingRefBased/>
  <w15:docId w15:val="{48D333D1-E020-1A46-B2E2-08746B5B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4</cp:revision>
  <dcterms:created xsi:type="dcterms:W3CDTF">2024-02-13T07:54:00Z</dcterms:created>
  <dcterms:modified xsi:type="dcterms:W3CDTF">2024-02-13T08:03:00Z</dcterms:modified>
</cp:coreProperties>
</file>