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4B9F" w14:textId="4989D13B" w:rsidR="0045190E" w:rsidRPr="0045190E" w:rsidRDefault="0045190E" w:rsidP="0045190E">
      <w:r>
        <w:t xml:space="preserve">The ad encourages viewers to send in cash and checks to support the candidate. The ad does so through past examples of Humphrey and Nixon and how Nixon was able to win because he had financial support. Thus, viewers are </w:t>
      </w:r>
      <w:r w:rsidR="001D4101">
        <w:t>encouraged to contribute, even if it is a few dollars.</w:t>
      </w:r>
    </w:p>
    <w:sectPr w:rsidR="0045190E" w:rsidRPr="0045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2F"/>
    <w:rsid w:val="00014C65"/>
    <w:rsid w:val="001D4101"/>
    <w:rsid w:val="0045190E"/>
    <w:rsid w:val="007C1BC9"/>
    <w:rsid w:val="00A4375C"/>
    <w:rsid w:val="00C2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76AE4"/>
  <w15:chartTrackingRefBased/>
  <w15:docId w15:val="{7B8DBB27-4FFF-E849-B5C0-AF545FE6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3</cp:revision>
  <dcterms:created xsi:type="dcterms:W3CDTF">2024-02-06T23:47:00Z</dcterms:created>
  <dcterms:modified xsi:type="dcterms:W3CDTF">2024-02-06T23:51:00Z</dcterms:modified>
</cp:coreProperties>
</file>