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0275267">
      <w:r w:rsidR="74DF34EB">
        <w:rPr/>
        <w:t xml:space="preserve">The ad criticizes opposing candidates for exploiting civil rights for votes, citing </w:t>
      </w:r>
      <w:r w:rsidR="488DB294">
        <w:rPr/>
        <w:t>an example of shifting their stance to cater to different states. It contrasts their shifting position with the endorsed candidate’s consistent support for civil rights and suggests voting for the endorsed candidate</w:t>
      </w:r>
      <w:r w:rsidR="2BAA4699">
        <w:rPr/>
        <w:t xml:space="preserve"> based on his genuine belief in the cause.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037F99"/>
    <w:rsid w:val="0AE42913"/>
    <w:rsid w:val="114ABF77"/>
    <w:rsid w:val="2BAA4699"/>
    <w:rsid w:val="416D7629"/>
    <w:rsid w:val="42037F99"/>
    <w:rsid w:val="488DB294"/>
    <w:rsid w:val="5F1B0568"/>
    <w:rsid w:val="74D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7F99"/>
  <w15:chartTrackingRefBased/>
  <w15:docId w15:val="{B22C5B5B-7829-4669-B8B8-4608F48EC3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2024-02-27T02:51:59.2323339Z</dcterms:created>
  <dcterms:modified xsi:type="dcterms:W3CDTF">2024-02-27T02:57:41.9744713Z</dcterms:modified>
  <dc:creator>Ki, Yunseo Y</dc:creator>
  <lastModifiedBy>Ki, Yunseo Y</lastModifiedBy>
</coreProperties>
</file>