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C0A88C0">
      <w:r w:rsidR="247D9AD5">
        <w:rPr/>
        <w:t>A young Black man and an older white man, despite differences, discuss support for the candidate for his stance on Medicare, education, gun control, tax policy, and familiarity with New York. The ad features hip-hop music and slang, emphasizing cross-</w:t>
      </w:r>
      <w:r w:rsidR="247D9AD5">
        <w:rPr/>
        <w:t>generational an</w:t>
      </w:r>
      <w:r w:rsidR="247D9AD5">
        <w:rPr/>
        <w:t>d cross-cultura</w:t>
      </w:r>
      <w:r w:rsidR="5F304838">
        <w:rPr/>
        <w:t xml:space="preserve">l appeal for the candidate.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6F497"/>
    <w:rsid w:val="247D9AD5"/>
    <w:rsid w:val="4EB6F497"/>
    <w:rsid w:val="5F304838"/>
    <w:rsid w:val="64D5CC95"/>
    <w:rsid w:val="6AB8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F497"/>
  <w15:chartTrackingRefBased/>
  <w15:docId w15:val="{D03A6FB2-8700-433E-B603-79EEF9453D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2024-02-27T04:47:18.9067986Z</dcterms:created>
  <dcterms:modified xsi:type="dcterms:W3CDTF">2024-02-27T04:51:41.1095110Z</dcterms:modified>
  <dc:creator>Ki, Yunseo Y</dc:creator>
  <lastModifiedBy>Ki, Yunseo Y</lastModifiedBy>
</coreProperties>
</file>