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2777E0A">
      <w:r w:rsidR="44879922">
        <w:rPr/>
        <w:t>The</w:t>
      </w:r>
      <w:r w:rsidR="44879922">
        <w:rPr/>
        <w:t xml:space="preserve"> candidate, approving the message, highlights past reforms that produced dramatic results and signing significant education reforms as president. He emphasizes accountability and </w:t>
      </w:r>
      <w:r w:rsidR="44879922">
        <w:rPr/>
        <w:t>high standards</w:t>
      </w:r>
      <w:r w:rsidR="44879922">
        <w:rPr/>
        <w:t xml:space="preserve"> as crucial for good schools, advocating for well-qualified teachers and ensuring no child is left behind.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58409C"/>
    <w:rsid w:val="1558409C"/>
    <w:rsid w:val="3E407264"/>
    <w:rsid w:val="44879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409C"/>
  <w15:chartTrackingRefBased/>
  <w15:docId w15:val="{837E4C1B-31D3-4943-82E8-75C9F8F24A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2024-02-27T07:37:41.0933433Z</dcterms:created>
  <dcterms:modified xsi:type="dcterms:W3CDTF">2024-02-27T07:39:32.1985501Z</dcterms:modified>
  <dc:creator>Ki, Yunseo Y</dc:creator>
  <lastModifiedBy>Ki, Yunseo Y</lastModifiedBy>
</coreProperties>
</file>