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97BA" w14:textId="19BB6FDD" w:rsidR="00E82515" w:rsidRDefault="00583397">
      <w:r>
        <w:t xml:space="preserve">Directly addressing the viewer, the candidate critiques the opposing party’s TV commercials claiming </w:t>
      </w:r>
      <w:r w:rsidR="00362A87">
        <w:t xml:space="preserve">high employment, economic health, and effective leadership, contrasting with their own experience. Highlighting the reality of </w:t>
      </w:r>
      <w:r w:rsidR="007B0F7F">
        <w:t xml:space="preserve">persisting negative circumstances, the candidate calls for collaborative efforts to enact change under his leadership. </w:t>
      </w:r>
    </w:p>
    <w:sectPr w:rsidR="00E8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15"/>
    <w:rsid w:val="00362A87"/>
    <w:rsid w:val="00583397"/>
    <w:rsid w:val="007B0F7F"/>
    <w:rsid w:val="00E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6367"/>
  <w15:chartTrackingRefBased/>
  <w15:docId w15:val="{CA26BEF7-7213-1F48-A16F-8F7F3C08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2024-02-13T08:37:00Z</dcterms:created>
  <dcterms:modified xsi:type="dcterms:W3CDTF">2024-02-13T08:40:00Z</dcterms:modified>
</cp:coreProperties>
</file>