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31D62" w14:textId="413077B0" w:rsidR="006646FD" w:rsidRDefault="00DA7E11">
      <w:r>
        <w:t>A friendly image depicts the candidate extending a hand</w:t>
      </w:r>
      <w:r w:rsidR="00BD025D">
        <w:t xml:space="preserve">. Spokespersons from major cities then assert that the candidate’s background positions them to defeat the opposing candidate, citing dissatisfaction with the previous administration’s inaction. Former constituents from the opposing candidate’s governorship express uncertainty about his accomplishments. </w:t>
      </w:r>
    </w:p>
    <w:sectPr w:rsidR="00664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FD"/>
    <w:rsid w:val="006646FD"/>
    <w:rsid w:val="00BD025D"/>
    <w:rsid w:val="00DA7E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97FBCB3"/>
  <w15:chartTrackingRefBased/>
  <w15:docId w15:val="{F8EA4D2B-76AD-254B-A670-D068F745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 Yunseo Y</dc:creator>
  <cp:keywords/>
  <dc:description/>
  <cp:lastModifiedBy>Ki, Yunseo Y</cp:lastModifiedBy>
  <cp:revision>3</cp:revision>
  <dcterms:created xsi:type="dcterms:W3CDTF">2024-02-13T08:41:00Z</dcterms:created>
  <dcterms:modified xsi:type="dcterms:W3CDTF">2024-02-13T08:45:00Z</dcterms:modified>
</cp:coreProperties>
</file>