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4CA" w14:textId="3555939F" w:rsidR="00194E9C" w:rsidRDefault="000E2884">
      <w:r>
        <w:t xml:space="preserve">The ad emphasizes the importance of supporting the candidate through </w:t>
      </w:r>
      <w:r w:rsidR="008166B4">
        <w:t xml:space="preserve">time or financial contributions if you believe in the candidate’s necessity. Urging for support, the message highlights how donations can contribute to the candidate’s presidential bid. Contact information is </w:t>
      </w:r>
      <w:r w:rsidR="00E92623">
        <w:t>displayed</w:t>
      </w:r>
      <w:r w:rsidR="008166B4">
        <w:t xml:space="preserve"> for those willing to donate or volunteer. </w:t>
      </w:r>
    </w:p>
    <w:sectPr w:rsidR="0019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9C"/>
    <w:rsid w:val="000E2884"/>
    <w:rsid w:val="00194E9C"/>
    <w:rsid w:val="008166B4"/>
    <w:rsid w:val="00E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A903"/>
  <w15:chartTrackingRefBased/>
  <w15:docId w15:val="{B6666C12-419C-2440-B80C-58B640AC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2024-02-13T09:09:00Z</dcterms:created>
  <dcterms:modified xsi:type="dcterms:W3CDTF">2024-02-13T09:12:00Z</dcterms:modified>
</cp:coreProperties>
</file>