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9BCB" w14:textId="64AF5EAB" w:rsidR="00252049" w:rsidRDefault="008E5CDE">
      <w:r>
        <w:t xml:space="preserve">Elderly women at a </w:t>
      </w:r>
      <w:r w:rsidR="00B125FE">
        <w:t>senior home express hardship</w:t>
      </w:r>
      <w:r>
        <w:t xml:space="preserve">, mentioning reduced food stamp benefits and insufficient support to meet their needs. They emphasize the </w:t>
      </w:r>
      <w:r w:rsidR="00B125FE">
        <w:t xml:space="preserve">impossibility of enduring further cuts to their benefits. Implicitly, the candidate is portrayed as empathetic to these struggles, urging voter support. </w:t>
      </w:r>
    </w:p>
    <w:sectPr w:rsidR="0025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49"/>
    <w:rsid w:val="00252049"/>
    <w:rsid w:val="008E5CDE"/>
    <w:rsid w:val="00B1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22CA"/>
  <w15:chartTrackingRefBased/>
  <w15:docId w15:val="{B6DD95CC-6AB0-8F4F-8222-22F705CF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3</cp:revision>
  <dcterms:created xsi:type="dcterms:W3CDTF">2024-02-13T07:25:00Z</dcterms:created>
  <dcterms:modified xsi:type="dcterms:W3CDTF">2024-02-13T07:29:00Z</dcterms:modified>
</cp:coreProperties>
</file>