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5AC6" w14:textId="0A8188EE" w:rsidR="007C1BC9" w:rsidRDefault="00CC3B1B">
      <w:r>
        <w:t>The ad discusses the opposing candidate’s budgets and how the numbers do not add up</w:t>
      </w:r>
      <w:r w:rsidR="00C53B14">
        <w:t xml:space="preserve"> and the candidate has overspent by 6 trillion dollars. </w:t>
      </w:r>
      <w:r w:rsidR="006B4AB6">
        <w:t>These hidden costs are examined and the ad criticizes the candidate, breaking apart the math as a teacher as if the candidate were a child.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CB"/>
    <w:rsid w:val="00014C65"/>
    <w:rsid w:val="006B4AB6"/>
    <w:rsid w:val="007C1BC9"/>
    <w:rsid w:val="007E47CB"/>
    <w:rsid w:val="00A4375C"/>
    <w:rsid w:val="00C53B14"/>
    <w:rsid w:val="00CC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0008A"/>
  <w15:chartTrackingRefBased/>
  <w15:docId w15:val="{740D2E30-F2DE-0441-A52E-AD8C5AFF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4</cp:revision>
  <dcterms:created xsi:type="dcterms:W3CDTF">2024-02-07T06:07:00Z</dcterms:created>
  <dcterms:modified xsi:type="dcterms:W3CDTF">2024-02-07T06:13:00Z</dcterms:modified>
</cp:coreProperties>
</file>