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54EB" w14:textId="0C47F167" w:rsidR="00EF0700" w:rsidRDefault="006F712C">
      <w:r>
        <w:t xml:space="preserve">The candidate asserts that Americans are deeply concerned over the economic shortcomings </w:t>
      </w:r>
      <w:r w:rsidR="00ED437C">
        <w:t xml:space="preserve">of the past administration. Leveraging his past tenure as a governor, the candidate highlights his success in collaboration between officials and private citizens to reduce government deficits, even achieving </w:t>
      </w:r>
      <w:r w:rsidR="005A1755">
        <w:t>surplus</w:t>
      </w:r>
      <w:r w:rsidR="00ED437C">
        <w:t xml:space="preserve"> and asserts </w:t>
      </w:r>
      <w:r w:rsidR="005A1755">
        <w:t xml:space="preserve">that he could do it again. </w:t>
      </w:r>
    </w:p>
    <w:sectPr w:rsidR="00EF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00"/>
    <w:rsid w:val="005A1755"/>
    <w:rsid w:val="006F712C"/>
    <w:rsid w:val="00ED437C"/>
    <w:rsid w:val="00E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1F694"/>
  <w15:chartTrackingRefBased/>
  <w15:docId w15:val="{AB47FC6A-66F7-094B-94D5-71F41432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2024-02-13T07:45:00Z</dcterms:created>
  <dcterms:modified xsi:type="dcterms:W3CDTF">2024-02-13T07:51:00Z</dcterms:modified>
</cp:coreProperties>
</file>