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line="920" w:lineRule="atLeast"/>
        <w:jc w:val="center"/>
      </w:pPr>
      <w:r>
        <w:rPr>
          <w:rFonts w:ascii="Times New Roman" w:eastAsia="SimHei"/>
          <w:b/>
          <w:bCs/>
          <w:color w:val="000000"/>
          <w:sz w:val="72"/>
          <w:szCs w:val="72"/>
        </w:rPr>
        <w:t xml:space="preserve">AgroEarthFM</w:t>
      </w:r>
    </w:p>
    <w:p>
      <w:pPr>
        <w:spacing w:after="400" w:line="690" w:lineRule="atLeast"/>
        <w:jc w:val="center"/>
      </w:pPr>
      <w:r>
        <w:rPr>
          <w:rFonts w:ascii="Times New Roman" w:eastAsia="SimHei"/>
          <w:b/>
          <w:bCs/>
          <w:color w:val="000000"/>
          <w:sz w:val="44"/>
          <w:szCs w:val="44"/>
        </w:rPr>
        <w:t xml:space="preserve">Complete Finalized Specification</w:t>
      </w:r>
    </w:p>
    <w:p>
      <w:pPr>
        <w:spacing w:after="600"/>
        <w:jc w:val="center"/>
      </w:pPr>
      <w:r>
        <w:rPr>
          <w:rFonts w:ascii="Times New Roman"/>
          <w:color w:val="404040"/>
          <w:sz w:val="28"/>
          <w:szCs w:val="28"/>
        </w:rPr>
        <w:t xml:space="preserve">Scope-Lock, Data-Readiness, and Comprehensive Research Blueprint</w:t>
      </w:r>
    </w:p>
    <w:p>
      <w:pPr>
        <w:spacing w:before="1200"/>
      </w:pPr>
    </w:p>
    <w:p>
      <w:pPr>
        <w:spacing w:after="80"/>
        <w:jc w:val="center"/>
      </w:pPr>
      <w:r>
        <w:rPr>
          <w:rFonts w:ascii="Times New Roman"/>
          <w:color w:val="606060"/>
          <w:sz w:val="22"/>
          <w:szCs w:val="22"/>
        </w:rPr>
        <w:t xml:space="preserve">Document Version: 2.0 (Finalized)</w:t>
      </w:r>
    </w:p>
    <w:p>
      <w:pPr>
        <w:spacing w:after="80"/>
        <w:jc w:val="center"/>
      </w:pPr>
      <w:r>
        <w:rPr>
          <w:rFonts w:ascii="Times New Roman"/>
          <w:color w:val="606060"/>
          <w:sz w:val="22"/>
          <w:szCs w:val="22"/>
        </w:rPr>
        <w:t xml:space="preserve">Date: 2026-05-22</w:t>
      </w:r>
    </w:p>
    <w:p>
      <w:pPr>
        <w:spacing w:after="80"/>
        <w:jc w:val="center"/>
      </w:pPr>
      <w:r>
        <w:rPr>
          <w:rFonts w:ascii="Times New Roman"/>
          <w:color w:val="606060"/>
          <w:sz w:val="22"/>
          <w:szCs w:val="22"/>
        </w:rPr>
        <w:t xml:space="preserve">Status: Pre-Implementation Specification</w:t>
      </w:r>
    </w:p>
    <w:p>
      <w:pPr>
        <w:spacing w:after="80"/>
        <w:jc w:val="center"/>
      </w:pPr>
      <w:r>
        <w:rPr>
          <w:rFonts w:ascii="Times New Roman"/>
          <w:color w:val="606060"/>
          <w:sz w:val="22"/>
          <w:szCs w:val="22"/>
        </w:rPr>
        <w:t xml:space="preserve">Classification: Research Prototype Specification</w:t>
      </w:r>
    </w:p>
    <w:p>
      <w:pPr>
        <w:sectPr>
          <w:pgSz w:w="11906" w:h="16838" w:orient="portrait"/>
          <w:pgMar w:top="0" w:right="0" w:bottom="0" w:left="0" w:header="708" w:footer="708" w:gutter="0"/>
          <w:pgNumType/>
          <w:docGrid w:linePitch="360"/>
        </w:sectPr>
      </w:pPr>
    </w:p>
    <w:p>
      <w:pPr>
        <w:spacing w:after="200" w:before="200"/>
        <w:jc w:val="center"/>
      </w:pPr>
      <w:r>
        <w:rPr>
          <w:rFonts w:ascii="Times New Roman" w:eastAsia="SimHei"/>
          <w:b/>
          <w:bCs/>
          <w:color w:val="162032"/>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Part I: Research Foundation</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 Research Vision and Background</w:t>
            </w:r>
            <w:r>
              <w:tab/>
            </w:r>
            <w:r>
              <w:fldChar w:fldCharType="begin"/>
            </w:r>
            <w:r>
              <w:instrText xml:space="preserve"> PAGEREF _Toc100001 \h </w:instrText>
            </w:r>
            <w:r>
              <w:fldChar w:fldCharType="separate"/>
            </w:r>
            <w:r>
              <w:t>2</w:t>
            </w:r>
            <w:r>
              <w:fldChar w:fldCharType="end"/>
            </w:r>
          </w:hyperlink>
        </w:p>
        <w:p>
          <w:pPr>
            <w:pStyle w:val="12"/>
            <w:ind w:left="720"/>
            <w:tabs>
              <w:tab w:val="right" w:leader="dot" w:pos="9026"/>
            </w:tabs>
            <w:spacing w:before="120" w:after="60"/>
          </w:pPr>
          <w:hyperlink w:anchor="_Toc100002" w:history="1">
            <w:r>
              <w:rPr>
                <w:rStyle w:val="Hyperlink"/>
              </w:rPr>
              <w:t>1.1 The Scientific Gap</w:t>
            </w:r>
            <w:r>
              <w:tab/>
            </w:r>
            <w:r>
              <w:fldChar w:fldCharType="begin"/>
            </w:r>
            <w:r>
              <w:instrText xml:space="preserve"> PAGEREF _Toc100002 \h </w:instrText>
            </w:r>
            <w:r>
              <w:fldChar w:fldCharType="separate"/>
            </w:r>
            <w:r>
              <w:t>3</w:t>
            </w:r>
            <w:r>
              <w:fldChar w:fldCharType="end"/>
            </w:r>
          </w:hyperlink>
        </w:p>
        <w:p>
          <w:pPr>
            <w:pStyle w:val="12"/>
            <w:ind w:left="720"/>
            <w:tabs>
              <w:tab w:val="right" w:leader="dot" w:pos="9026"/>
            </w:tabs>
            <w:spacing w:before="120" w:after="60"/>
          </w:pPr>
          <w:hyperlink w:anchor="_Toc100003" w:history="1">
            <w:r>
              <w:rPr>
                <w:rStyle w:val="Hyperlink"/>
              </w:rPr>
              <w:t>1.2 Research Direction</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1.3 Long-Term Vision (Phase 2 and Beyond)</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 Revised Core Hypothesis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2.1 Final Revised Hypothesis</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2.2 Hypothesis Rationale</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2.3 Hypothesis Scope Boundary</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 Atomic Testable Claims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3.1 Claim Register</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3.2 Claim Validation Priority</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 Causal Chain and Temporal DAG</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4.1 The Agro-Ecosystem Process Chain</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4.2 Original Causal Graph (DEFECTIVE — Contains DAG Cycle)</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4.3 Revised Temporal DAG (FINAL)</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4.4 DAG Structural Properties</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4.5 Key Causal Relationships Explained</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Part II: Architecture Specification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 Complete Model Architecture</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5.1 MVP Architecture (Final)</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5.2 Component Specifications</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5.3 Components Deferred from MVP</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5.4 Model Size and Token Budget</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 Missing Modality Protocol</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6.1 Design</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6.2 Missing-Modality Test Matrix</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Part III: Data Strategy</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 Multi-Resolution Datacube Design</w:t>
            </w:r>
            <w:r>
              <w:tab/>
            </w:r>
            <w:r>
              <w:fldChar w:fldCharType="begin"/>
            </w:r>
            <w:r>
              <w:instrText xml:space="preserve"> PAGEREF _Toc100028 \h </w:instrText>
            </w:r>
            <w:r>
              <w:fldChar w:fldCharType="separate"/>
            </w:r>
            <w:r>
              <w:t>10</w:t>
            </w:r>
            <w:r>
              <w:fldChar w:fldCharType="end"/>
            </w:r>
          </w:hyperlink>
        </w:p>
        <w:p>
          <w:pPr>
            <w:pStyle w:val="12"/>
            <w:ind w:left="720"/>
            <w:tabs>
              <w:tab w:val="right" w:leader="dot" w:pos="9026"/>
            </w:tabs>
            <w:spacing w:before="120" w:after="60"/>
          </w:pPr>
          <w:hyperlink w:anchor="_Toc100029" w:history="1">
            <w:r>
              <w:rPr>
                <w:rStyle w:val="Hyperlink"/>
              </w:rPr>
              <w:t>7.1 Core Principle</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7.2 Resolution Tiers</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7.3 Datacube Construction Protocol</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 Complete Data Source Catalog</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8.1 Satellite Imagery</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8.2 Vegetation Indices</w:t>
            </w:r>
            <w:r>
              <w:tab/>
            </w:r>
            <w:r>
              <w:fldChar w:fldCharType="begin"/>
            </w:r>
            <w:r>
              <w:instrText xml:space="preserve"> PAGEREF _Toc100034 \h </w:instrText>
            </w:r>
            <w:r>
              <w:fldChar w:fldCharType="separate"/>
            </w:r>
            <w:r>
              <w:t>11</w:t>
            </w:r>
            <w:r>
              <w:fldChar w:fldCharType="end"/>
            </w:r>
          </w:hyperlink>
        </w:p>
        <w:p>
          <w:pPr>
            <w:pStyle w:val="12"/>
            <w:ind w:left="720"/>
            <w:tabs>
              <w:tab w:val="right" w:leader="dot" w:pos="9026"/>
            </w:tabs>
            <w:spacing w:before="120" w:after="60"/>
          </w:pPr>
          <w:hyperlink w:anchor="_Toc100035" w:history="1">
            <w:r>
              <w:rPr>
                <w:rStyle w:val="Hyperlink"/>
              </w:rPr>
              <w:t>8.3 Climate Data</w:t>
            </w:r>
            <w:r>
              <w:tab/>
            </w:r>
            <w:r>
              <w:fldChar w:fldCharType="begin"/>
            </w:r>
            <w:r>
              <w:instrText xml:space="preserve"> PAGEREF _Toc100035 \h </w:instrText>
            </w:r>
            <w:r>
              <w:fldChar w:fldCharType="separate"/>
            </w:r>
            <w:r>
              <w:t>11</w:t>
            </w:r>
            <w:r>
              <w:fldChar w:fldCharType="end"/>
            </w:r>
          </w:hyperlink>
        </w:p>
        <w:p>
          <w:pPr>
            <w:pStyle w:val="12"/>
            <w:ind w:left="720"/>
            <w:tabs>
              <w:tab w:val="right" w:leader="dot" w:pos="9026"/>
            </w:tabs>
            <w:spacing w:before="120" w:after="60"/>
          </w:pPr>
          <w:hyperlink w:anchor="_Toc100036" w:history="1">
            <w:r>
              <w:rPr>
                <w:rStyle w:val="Hyperlink"/>
              </w:rPr>
              <w:t>8.4 Soil Data</w:t>
            </w:r>
            <w:r>
              <w:tab/>
            </w:r>
            <w:r>
              <w:fldChar w:fldCharType="begin"/>
            </w:r>
            <w:r>
              <w:instrText xml:space="preserve"> PAGEREF _Toc100036 \h </w:instrText>
            </w:r>
            <w:r>
              <w:fldChar w:fldCharType="separate"/>
            </w:r>
            <w:r>
              <w:t>11</w:t>
            </w:r>
            <w:r>
              <w:fldChar w:fldCharType="end"/>
            </w:r>
          </w:hyperlink>
        </w:p>
        <w:p>
          <w:pPr>
            <w:pStyle w:val="12"/>
            <w:ind w:left="720"/>
            <w:tabs>
              <w:tab w:val="right" w:leader="dot" w:pos="9026"/>
            </w:tabs>
            <w:spacing w:before="120" w:after="60"/>
          </w:pPr>
          <w:hyperlink w:anchor="_Toc100037" w:history="1">
            <w:r>
              <w:rPr>
                <w:rStyle w:val="Hyperlink"/>
              </w:rPr>
              <w:t>8.5 Soil Moisture</w:t>
            </w:r>
            <w:r>
              <w:tab/>
            </w:r>
            <w:r>
              <w:fldChar w:fldCharType="begin"/>
            </w:r>
            <w:r>
              <w:instrText xml:space="preserve"> PAGEREF _Toc100037 \h </w:instrText>
            </w:r>
            <w:r>
              <w:fldChar w:fldCharType="separate"/>
            </w:r>
            <w:r>
              <w:t>11</w:t>
            </w:r>
            <w:r>
              <w:fldChar w:fldCharType="end"/>
            </w:r>
          </w:hyperlink>
        </w:p>
        <w:p>
          <w:pPr>
            <w:pStyle w:val="12"/>
            <w:ind w:left="720"/>
            <w:tabs>
              <w:tab w:val="right" w:leader="dot" w:pos="9026"/>
            </w:tabs>
            <w:spacing w:before="120" w:after="60"/>
          </w:pPr>
          <w:hyperlink w:anchor="_Toc100038" w:history="1">
            <w:r>
              <w:rPr>
                <w:rStyle w:val="Hyperlink"/>
              </w:rPr>
              <w:t>8.6 Groundwater</w:t>
            </w:r>
            <w:r>
              <w:tab/>
            </w:r>
            <w:r>
              <w:fldChar w:fldCharType="begin"/>
            </w:r>
            <w:r>
              <w:instrText xml:space="preserve"> PAGEREF _Toc100038 \h </w:instrText>
            </w:r>
            <w:r>
              <w:fldChar w:fldCharType="separate"/>
            </w:r>
            <w:r>
              <w:t>11</w:t>
            </w:r>
            <w:r>
              <w:fldChar w:fldCharType="end"/>
            </w:r>
          </w:hyperlink>
        </w:p>
        <w:p>
          <w:pPr>
            <w:pStyle w:val="12"/>
            <w:ind w:left="720"/>
            <w:tabs>
              <w:tab w:val="right" w:leader="dot" w:pos="9026"/>
            </w:tabs>
            <w:spacing w:before="120" w:after="60"/>
          </w:pPr>
          <w:hyperlink w:anchor="_Toc100039" w:history="1">
            <w:r>
              <w:rPr>
                <w:rStyle w:val="Hyperlink"/>
              </w:rPr>
              <w:t>8.7 Crop Calendar and Crop Mask</w:t>
            </w:r>
            <w:r>
              <w:tab/>
            </w:r>
            <w:r>
              <w:fldChar w:fldCharType="begin"/>
            </w:r>
            <w:r>
              <w:instrText xml:space="preserve"> PAGEREF _Toc100039 \h </w:instrText>
            </w:r>
            <w:r>
              <w:fldChar w:fldCharType="separate"/>
            </w:r>
            <w:r>
              <w:t>12</w:t>
            </w:r>
            <w:r>
              <w:fldChar w:fldCharType="end"/>
            </w:r>
          </w:hyperlink>
        </w:p>
        <w:p>
          <w:pPr>
            <w:pStyle w:val="12"/>
            <w:ind w:left="720"/>
            <w:tabs>
              <w:tab w:val="right" w:leader="dot" w:pos="9026"/>
            </w:tabs>
            <w:spacing w:before="120" w:after="60"/>
          </w:pPr>
          <w:hyperlink w:anchor="_Toc100040" w:history="1">
            <w:r>
              <w:rPr>
                <w:rStyle w:val="Hyperlink"/>
              </w:rPr>
              <w:t>8.8 Yield Labels</w:t>
            </w:r>
            <w:r>
              <w:tab/>
            </w:r>
            <w:r>
              <w:fldChar w:fldCharType="begin"/>
            </w:r>
            <w:r>
              <w:instrText xml:space="preserve"> PAGEREF _Toc100040 \h </w:instrText>
            </w:r>
            <w:r>
              <w:fldChar w:fldCharType="separate"/>
            </w:r>
            <w:r>
              <w:t>12</w:t>
            </w:r>
            <w:r>
              <w:fldChar w:fldCharType="end"/>
            </w:r>
          </w:hyperlink>
        </w:p>
        <w:p>
          <w:pPr>
            <w:pStyle w:val="12"/>
            <w:ind w:left="720"/>
            <w:tabs>
              <w:tab w:val="right" w:leader="dot" w:pos="9026"/>
            </w:tabs>
            <w:spacing w:before="120" w:after="60"/>
          </w:pPr>
          <w:hyperlink w:anchor="_Toc100041" w:history="1">
            <w:r>
              <w:rPr>
                <w:rStyle w:val="Hyperlink"/>
              </w:rPr>
              <w:t>8.9 Irrigation and Management Proxies</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9. Scope-Lock Specifications</w:t>
            </w:r>
            <w:r>
              <w:tab/>
            </w:r>
            <w:r>
              <w:fldChar w:fldCharType="begin"/>
            </w:r>
            <w:r>
              <w:instrText xml:space="preserve"> PAGEREF _Toc100042 \h </w:instrText>
            </w:r>
            <w:r>
              <w:fldChar w:fldCharType="separate"/>
            </w:r>
            <w:r>
              <w:t>12</w:t>
            </w:r>
            <w:r>
              <w:fldChar w:fldCharType="end"/>
            </w:r>
          </w:hyperlink>
        </w:p>
        <w:p>
          <w:pPr>
            <w:pStyle w:val="12"/>
            <w:ind w:left="720"/>
            <w:tabs>
              <w:tab w:val="right" w:leader="dot" w:pos="9026"/>
            </w:tabs>
            <w:spacing w:before="120" w:after="60"/>
          </w:pPr>
          <w:hyperlink w:anchor="_Toc100043" w:history="1">
            <w:r>
              <w:rPr>
                <w:rStyle w:val="Hyperlink"/>
              </w:rPr>
              <w:t>9.1 Crop Selection</w:t>
            </w:r>
            <w:r>
              <w:tab/>
            </w:r>
            <w:r>
              <w:fldChar w:fldCharType="begin"/>
            </w:r>
            <w:r>
              <w:instrText xml:space="preserve"> PAGEREF _Toc100043 \h </w:instrText>
            </w:r>
            <w:r>
              <w:fldChar w:fldCharType="separate"/>
            </w:r>
            <w:r>
              <w:t>12</w:t>
            </w:r>
            <w:r>
              <w:fldChar w:fldCharType="end"/>
            </w:r>
          </w:hyperlink>
        </w:p>
        <w:p>
          <w:pPr>
            <w:pStyle w:val="12"/>
            <w:ind w:left="720"/>
            <w:tabs>
              <w:tab w:val="right" w:leader="dot" w:pos="9026"/>
            </w:tabs>
            <w:spacing w:before="120" w:after="60"/>
          </w:pPr>
          <w:hyperlink w:anchor="_Toc100044" w:history="1">
            <w:r>
              <w:rPr>
                <w:rStyle w:val="Hyperlink"/>
              </w:rPr>
              <w:t>9.2 Study Region Selection</w:t>
            </w:r>
            <w:r>
              <w:tab/>
            </w:r>
            <w:r>
              <w:fldChar w:fldCharType="begin"/>
            </w:r>
            <w:r>
              <w:instrText xml:space="preserve"> PAGEREF _Toc100044 \h </w:instrText>
            </w:r>
            <w:r>
              <w:fldChar w:fldCharType="separate"/>
            </w:r>
            <w:r>
              <w:t>13</w:t>
            </w:r>
            <w:r>
              <w:fldChar w:fldCharType="end"/>
            </w:r>
          </w:hyperlink>
        </w:p>
        <w:p>
          <w:pPr>
            <w:pStyle w:val="12"/>
            <w:ind w:left="720"/>
            <w:tabs>
              <w:tab w:val="right" w:leader="dot" w:pos="9026"/>
            </w:tabs>
            <w:spacing w:before="120" w:after="60"/>
          </w:pPr>
          <w:hyperlink w:anchor="_Toc100045" w:history="1">
            <w:r>
              <w:rPr>
                <w:rStyle w:val="Hyperlink"/>
              </w:rPr>
              <w:t>9.3 Region Selection Criteria Verification</w:t>
            </w:r>
            <w:r>
              <w:tab/>
            </w:r>
            <w:r>
              <w:fldChar w:fldCharType="begin"/>
            </w:r>
            <w:r>
              <w:instrText xml:space="preserve"> PAGEREF _Toc100045 \h </w:instrText>
            </w:r>
            <w:r>
              <w:fldChar w:fldCharType="separate"/>
            </w:r>
            <w:r>
              <w:t>13</w:t>
            </w:r>
            <w:r>
              <w:fldChar w:fldCharType="end"/>
            </w:r>
          </w:hyperlink>
        </w:p>
        <w:p>
          <w:pPr>
            <w:pStyle w:val="12"/>
            <w:ind w:left="720"/>
            <w:tabs>
              <w:tab w:val="right" w:leader="dot" w:pos="9026"/>
            </w:tabs>
            <w:spacing w:before="120" w:after="60"/>
          </w:pPr>
          <w:hyperlink w:anchor="_Toc100046" w:history="1">
            <w:r>
              <w:rPr>
                <w:rStyle w:val="Hyperlink"/>
              </w:rPr>
              <w:t>9.4 Temporal Coverage</w:t>
            </w:r>
            <w:r>
              <w:tab/>
            </w:r>
            <w:r>
              <w:fldChar w:fldCharType="begin"/>
            </w:r>
            <w:r>
              <w:instrText xml:space="preserve"> PAGEREF _Toc100046 \h </w:instrText>
            </w:r>
            <w:r>
              <w:fldChar w:fldCharType="separate"/>
            </w:r>
            <w:r>
              <w:t>13</w:t>
            </w:r>
            <w:r>
              <w:fldChar w:fldCharType="end"/>
            </w:r>
          </w:hyperlink>
        </w:p>
        <w:p>
          <w:pPr>
            <w:pStyle w:val="12"/>
            <w:ind w:left="720"/>
            <w:tabs>
              <w:tab w:val="right" w:leader="dot" w:pos="9026"/>
            </w:tabs>
            <w:spacing w:before="120" w:after="60"/>
          </w:pPr>
          <w:hyperlink w:anchor="_Toc100047" w:history="1">
            <w:r>
              <w:rPr>
                <w:rStyle w:val="Hyperlink"/>
              </w:rPr>
              <w:t>9.5 Train / Validation / Test Split Protocol</w:t>
            </w:r>
            <w:r>
              <w:tab/>
            </w:r>
            <w:r>
              <w:fldChar w:fldCharType="begin"/>
            </w:r>
            <w:r>
              <w:instrText xml:space="preserve"> PAGEREF _Toc100047 \h </w:instrText>
            </w:r>
            <w:r>
              <w:fldChar w:fldCharType="separate"/>
            </w:r>
            <w:r>
              <w:t>13</w:t>
            </w:r>
            <w:r>
              <w:fldChar w:fldCharType="end"/>
            </w:r>
          </w:hyperlink>
        </w:p>
        <w:p>
          <w:pPr>
            <w:pStyle w:val="12"/>
            <w:ind w:left="720"/>
            <w:tabs>
              <w:tab w:val="right" w:leader="dot" w:pos="9026"/>
            </w:tabs>
            <w:spacing w:before="120" w:after="60"/>
          </w:pPr>
          <w:hyperlink w:anchor="_Toc100048" w:history="1">
            <w:r>
              <w:rPr>
                <w:rStyle w:val="Hyperlink"/>
              </w:rPr>
              <w:t>9.6 Label Sources and Scales</w:t>
            </w:r>
            <w:r>
              <w:tab/>
            </w:r>
            <w:r>
              <w:fldChar w:fldCharType="begin"/>
            </w:r>
            <w:r>
              <w:instrText xml:space="preserve"> PAGEREF _Toc100048 \h </w:instrText>
            </w:r>
            <w:r>
              <w:fldChar w:fldCharType="separate"/>
            </w:r>
            <w:r>
              <w:t>13</w:t>
            </w:r>
            <w:r>
              <w:fldChar w:fldCharType="end"/>
            </w:r>
          </w:hyperlink>
        </w:p>
        <w:p>
          <w:pPr>
            <w:pStyle w:val="11"/>
            <w:ind w:left="360"/>
            <w:tabs>
              <w:tab w:val="right" w:leader="dot" w:pos="9026"/>
            </w:tabs>
            <w:spacing w:before="120" w:after="60"/>
          </w:pPr>
          <w:hyperlink w:anchor="_Toc100049" w:history="1">
            <w:r>
              <w:rPr>
                <w:rStyle w:val="Hyperlink"/>
              </w:rPr>
              <w:t>10. Data Processing Pipeline</w:t>
            </w:r>
            <w:r>
              <w:tab/>
            </w:r>
            <w:r>
              <w:fldChar w:fldCharType="begin"/>
            </w:r>
            <w:r>
              <w:instrText xml:space="preserve"> PAGEREF _Toc100049 \h </w:instrText>
            </w:r>
            <w:r>
              <w:fldChar w:fldCharType="separate"/>
            </w:r>
            <w:r>
              <w:t>14</w:t>
            </w:r>
            <w:r>
              <w:fldChar w:fldCharType="end"/>
            </w:r>
          </w:hyperlink>
        </w:p>
        <w:p>
          <w:pPr>
            <w:pStyle w:val="12"/>
            <w:ind w:left="720"/>
            <w:tabs>
              <w:tab w:val="right" w:leader="dot" w:pos="9026"/>
            </w:tabs>
            <w:spacing w:before="120" w:after="60"/>
          </w:pPr>
          <w:hyperlink w:anchor="_Toc100050" w:history="1">
            <w:r>
              <w:rPr>
                <w:rStyle w:val="Hyperlink"/>
              </w:rPr>
              <w:t>10.1 Pipeline Stages</w:t>
            </w:r>
            <w:r>
              <w:tab/>
            </w:r>
            <w:r>
              <w:fldChar w:fldCharType="begin"/>
            </w:r>
            <w:r>
              <w:instrText xml:space="preserve"> PAGEREF _Toc100050 \h </w:instrText>
            </w:r>
            <w:r>
              <w:fldChar w:fldCharType="separate"/>
            </w:r>
            <w:r>
              <w:t>14</w:t>
            </w:r>
            <w:r>
              <w:fldChar w:fldCharType="end"/>
            </w:r>
          </w:hyperlink>
        </w:p>
        <w:p>
          <w:pPr>
            <w:pStyle w:val="12"/>
            <w:ind w:left="720"/>
            <w:tabs>
              <w:tab w:val="right" w:leader="dot" w:pos="9026"/>
            </w:tabs>
            <w:spacing w:before="120" w:after="60"/>
          </w:pPr>
          <w:hyperlink w:anchor="_Toc100051" w:history="1">
            <w:r>
              <w:rPr>
                <w:rStyle w:val="Hyperlink"/>
              </w:rPr>
              <w:t>10.2 Cloud Contamination Protocol</w:t>
            </w:r>
            <w:r>
              <w:tab/>
            </w:r>
            <w:r>
              <w:fldChar w:fldCharType="begin"/>
            </w:r>
            <w:r>
              <w:instrText xml:space="preserve"> PAGEREF _Toc100051 \h </w:instrText>
            </w:r>
            <w:r>
              <w:fldChar w:fldCharType="separate"/>
            </w:r>
            <w:r>
              <w:t>14</w:t>
            </w:r>
            <w:r>
              <w:fldChar w:fldCharType="end"/>
            </w:r>
          </w:hyperlink>
        </w:p>
        <w:p>
          <w:pPr>
            <w:pStyle w:val="11"/>
            <w:ind w:left="360"/>
            <w:tabs>
              <w:tab w:val="right" w:leader="dot" w:pos="9026"/>
            </w:tabs>
            <w:spacing w:before="120" w:after="60"/>
          </w:pPr>
          <w:hyperlink w:anchor="_Toc100052" w:history="1">
            <w:r>
              <w:rPr>
                <w:rStyle w:val="Hyperlink"/>
              </w:rPr>
              <w:t>11. Storage and Compute Estimates</w:t>
            </w:r>
            <w:r>
              <w:tab/>
            </w:r>
            <w:r>
              <w:fldChar w:fldCharType="begin"/>
            </w:r>
            <w:r>
              <w:instrText xml:space="preserve"> PAGEREF _Toc100052 \h </w:instrText>
            </w:r>
            <w:r>
              <w:fldChar w:fldCharType="separate"/>
            </w:r>
            <w:r>
              <w:t>14</w:t>
            </w:r>
            <w:r>
              <w:fldChar w:fldCharType="end"/>
            </w:r>
          </w:hyperlink>
        </w:p>
        <w:p>
          <w:pPr>
            <w:pStyle w:val="12"/>
            <w:ind w:left="720"/>
            <w:tabs>
              <w:tab w:val="right" w:leader="dot" w:pos="9026"/>
            </w:tabs>
            <w:spacing w:before="120" w:after="60"/>
          </w:pPr>
          <w:hyperlink w:anchor="_Toc100053" w:history="1">
            <w:r>
              <w:rPr>
                <w:rStyle w:val="Hyperlink"/>
              </w:rPr>
              <w:t>11.1 Storage Estimates</w:t>
            </w:r>
            <w:r>
              <w:tab/>
            </w:r>
            <w:r>
              <w:fldChar w:fldCharType="begin"/>
            </w:r>
            <w:r>
              <w:instrText xml:space="preserve"> PAGEREF _Toc100053 \h </w:instrText>
            </w:r>
            <w:r>
              <w:fldChar w:fldCharType="separate"/>
            </w:r>
            <w:r>
              <w:t>14</w:t>
            </w:r>
            <w:r>
              <w:fldChar w:fldCharType="end"/>
            </w:r>
          </w:hyperlink>
        </w:p>
        <w:p>
          <w:pPr>
            <w:pStyle w:val="12"/>
            <w:ind w:left="720"/>
            <w:tabs>
              <w:tab w:val="right" w:leader="dot" w:pos="9026"/>
            </w:tabs>
            <w:spacing w:before="120" w:after="60"/>
          </w:pPr>
          <w:hyperlink w:anchor="_Toc100054" w:history="1">
            <w:r>
              <w:rPr>
                <w:rStyle w:val="Hyperlink"/>
              </w:rPr>
              <w:t>11.2 Compute Estimates</w:t>
            </w:r>
            <w:r>
              <w:tab/>
            </w:r>
            <w:r>
              <w:fldChar w:fldCharType="begin"/>
            </w:r>
            <w:r>
              <w:instrText xml:space="preserve"> PAGEREF _Toc100054 \h </w:instrText>
            </w:r>
            <w:r>
              <w:fldChar w:fldCharType="separate"/>
            </w:r>
            <w:r>
              <w:t>14</w:t>
            </w:r>
            <w:r>
              <w:fldChar w:fldCharType="end"/>
            </w:r>
          </w:hyperlink>
        </w:p>
        <w:p>
          <w:pPr>
            <w:pStyle w:val="12"/>
            <w:ind w:left="720"/>
            <w:tabs>
              <w:tab w:val="right" w:leader="dot" w:pos="9026"/>
            </w:tabs>
            <w:spacing w:before="120" w:after="60"/>
          </w:pPr>
          <w:hyperlink w:anchor="_Toc100055" w:history="1">
            <w:r>
              <w:rPr>
                <w:rStyle w:val="Hyperlink"/>
              </w:rPr>
              <w:t>11.3 Reproducibility Requirements</w:t>
            </w:r>
            <w:r>
              <w:tab/>
            </w:r>
            <w:r>
              <w:fldChar w:fldCharType="begin"/>
            </w:r>
            <w:r>
              <w:instrText xml:space="preserve"> PAGEREF _Toc100055 \h </w:instrText>
            </w:r>
            <w:r>
              <w:fldChar w:fldCharType="separate"/>
            </w:r>
            <w:r>
              <w:t>15</w:t>
            </w:r>
            <w:r>
              <w:fldChar w:fldCharType="end"/>
            </w:r>
          </w:hyperlink>
        </w:p>
        <w:p>
          <w:pPr>
            <w:pStyle w:val="9"/>
            <w:tabs>
              <w:tab w:val="right" w:leader="dot" w:pos="9026"/>
            </w:tabs>
            <w:spacing w:before="120" w:after="60"/>
          </w:pPr>
          <w:hyperlink w:anchor="_Toc100056" w:history="1">
            <w:r>
              <w:rPr>
                <w:rStyle w:val="Hyperlink"/>
              </w:rPr>
              <w:t>Part IV: Self-Supervised Learning</w:t>
            </w:r>
            <w:r>
              <w:tab/>
            </w:r>
            <w:r>
              <w:fldChar w:fldCharType="begin"/>
            </w:r>
            <w:r>
              <w:instrText xml:space="preserve"> PAGEREF _Toc100056 \h </w:instrText>
            </w:r>
            <w:r>
              <w:fldChar w:fldCharType="separate"/>
            </w:r>
            <w:r>
              <w:t>15</w:t>
            </w:r>
            <w:r>
              <w:fldChar w:fldCharType="end"/>
            </w:r>
          </w:hyperlink>
        </w:p>
        <w:p>
          <w:pPr>
            <w:pStyle w:val="11"/>
            <w:ind w:left="360"/>
            <w:tabs>
              <w:tab w:val="right" w:leader="dot" w:pos="9026"/>
            </w:tabs>
            <w:spacing w:before="120" w:after="60"/>
          </w:pPr>
          <w:hyperlink w:anchor="_Toc100057" w:history="1">
            <w:r>
              <w:rPr>
                <w:rStyle w:val="Hyperlink"/>
              </w:rPr>
              <w:t>12. SSL Objective Specifications</w:t>
            </w:r>
            <w:r>
              <w:tab/>
            </w:r>
            <w:r>
              <w:fldChar w:fldCharType="begin"/>
            </w:r>
            <w:r>
              <w:instrText xml:space="preserve"> PAGEREF _Toc100057 \h </w:instrText>
            </w:r>
            <w:r>
              <w:fldChar w:fldCharType="separate"/>
            </w:r>
            <w:r>
              <w:t>15</w:t>
            </w:r>
            <w:r>
              <w:fldChar w:fldCharType="end"/>
            </w:r>
          </w:hyperlink>
        </w:p>
        <w:p>
          <w:pPr>
            <w:pStyle w:val="12"/>
            <w:ind w:left="720"/>
            <w:tabs>
              <w:tab w:val="right" w:leader="dot" w:pos="9026"/>
            </w:tabs>
            <w:spacing w:before="120" w:after="60"/>
          </w:pPr>
          <w:hyperlink w:anchor="_Toc100058" w:history="1">
            <w:r>
              <w:rPr>
                <w:rStyle w:val="Hyperlink"/>
              </w:rPr>
              <w:t>12.1 SSL Objective Sequence</w:t>
            </w:r>
            <w:r>
              <w:tab/>
            </w:r>
            <w:r>
              <w:fldChar w:fldCharType="begin"/>
            </w:r>
            <w:r>
              <w:instrText xml:space="preserve"> PAGEREF _Toc100058 \h </w:instrText>
            </w:r>
            <w:r>
              <w:fldChar w:fldCharType="separate"/>
            </w:r>
            <w:r>
              <w:t>15</w:t>
            </w:r>
            <w:r>
              <w:fldChar w:fldCharType="end"/>
            </w:r>
          </w:hyperlink>
        </w:p>
        <w:p>
          <w:pPr>
            <w:pStyle w:val="12"/>
            <w:ind w:left="720"/>
            <w:tabs>
              <w:tab w:val="right" w:leader="dot" w:pos="9026"/>
            </w:tabs>
            <w:spacing w:before="120" w:after="60"/>
          </w:pPr>
          <w:hyperlink w:anchor="_Toc100059" w:history="1">
            <w:r>
              <w:rPr>
                <w:rStyle w:val="Hyperlink"/>
              </w:rPr>
              <w:t>12.2 Detailed Objective Descriptions</w:t>
            </w:r>
            <w:r>
              <w:tab/>
            </w:r>
            <w:r>
              <w:fldChar w:fldCharType="begin"/>
            </w:r>
            <w:r>
              <w:instrText xml:space="preserve"> PAGEREF _Toc100059 \h </w:instrText>
            </w:r>
            <w:r>
              <w:fldChar w:fldCharType="separate"/>
            </w:r>
            <w:r>
              <w:t>15</w:t>
            </w:r>
            <w:r>
              <w:fldChar w:fldCharType="end"/>
            </w:r>
          </w:hyperlink>
        </w:p>
        <w:p>
          <w:pPr>
            <w:pStyle w:val="11"/>
            <w:ind w:left="360"/>
            <w:tabs>
              <w:tab w:val="right" w:leader="dot" w:pos="9026"/>
            </w:tabs>
            <w:spacing w:before="120" w:after="60"/>
          </w:pPr>
          <w:hyperlink w:anchor="_Toc100060" w:history="1">
            <w:r>
              <w:rPr>
                <w:rStyle w:val="Hyperlink"/>
              </w:rPr>
              <w:t>13. Loss Function Specification</w:t>
            </w:r>
            <w:r>
              <w:tab/>
            </w:r>
            <w:r>
              <w:fldChar w:fldCharType="begin"/>
            </w:r>
            <w:r>
              <w:instrText xml:space="preserve"> PAGEREF _Toc100060 \h </w:instrText>
            </w:r>
            <w:r>
              <w:fldChar w:fldCharType="separate"/>
            </w:r>
            <w:r>
              <w:t>17</w:t>
            </w:r>
            <w:r>
              <w:fldChar w:fldCharType="end"/>
            </w:r>
          </w:hyperlink>
        </w:p>
        <w:p>
          <w:pPr>
            <w:pStyle w:val="12"/>
            <w:ind w:left="720"/>
            <w:tabs>
              <w:tab w:val="right" w:leader="dot" w:pos="9026"/>
            </w:tabs>
            <w:spacing w:before="120" w:after="60"/>
          </w:pPr>
          <w:hyperlink w:anchor="_Toc100061" w:history="1">
            <w:r>
              <w:rPr>
                <w:rStyle w:val="Hyperlink"/>
              </w:rPr>
              <w:t>13.1 Total Training Loss</w:t>
            </w:r>
            <w:r>
              <w:tab/>
            </w:r>
            <w:r>
              <w:fldChar w:fldCharType="begin"/>
            </w:r>
            <w:r>
              <w:instrText xml:space="preserve"> PAGEREF _Toc100061 \h </w:instrText>
            </w:r>
            <w:r>
              <w:fldChar w:fldCharType="separate"/>
            </w:r>
            <w:r>
              <w:t>17</w:t>
            </w:r>
            <w:r>
              <w:fldChar w:fldCharType="end"/>
            </w:r>
          </w:hyperlink>
        </w:p>
        <w:p>
          <w:pPr>
            <w:pStyle w:val="12"/>
            <w:ind w:left="720"/>
            <w:tabs>
              <w:tab w:val="right" w:leader="dot" w:pos="9026"/>
            </w:tabs>
            <w:spacing w:before="120" w:after="60"/>
          </w:pPr>
          <w:hyperlink w:anchor="_Toc100062" w:history="1">
            <w:r>
              <w:rPr>
                <w:rStyle w:val="Hyperlink"/>
              </w:rPr>
              <w:t>13.2 SSL Objective Weight Ranges</w:t>
            </w:r>
            <w:r>
              <w:tab/>
            </w:r>
            <w:r>
              <w:fldChar w:fldCharType="begin"/>
            </w:r>
            <w:r>
              <w:instrText xml:space="preserve"> PAGEREF _Toc100062 \h </w:instrText>
            </w:r>
            <w:r>
              <w:fldChar w:fldCharType="separate"/>
            </w:r>
            <w:r>
              <w:t>18</w:t>
            </w:r>
            <w:r>
              <w:fldChar w:fldCharType="end"/>
            </w:r>
          </w:hyperlink>
        </w:p>
        <w:p>
          <w:pPr>
            <w:pStyle w:val="12"/>
            <w:ind w:left="720"/>
            <w:tabs>
              <w:tab w:val="right" w:leader="dot" w:pos="9026"/>
            </w:tabs>
            <w:spacing w:before="120" w:after="60"/>
          </w:pPr>
          <w:hyperlink w:anchor="_Toc100063" w:history="1">
            <w:r>
              <w:rPr>
                <w:rStyle w:val="Hyperlink"/>
              </w:rPr>
              <w:t>13.3 Physics Loss Weight Warm-up Schedules</w:t>
            </w:r>
            <w:r>
              <w:tab/>
            </w:r>
            <w:r>
              <w:fldChar w:fldCharType="begin"/>
            </w:r>
            <w:r>
              <w:instrText xml:space="preserve"> PAGEREF _Toc100063 \h </w:instrText>
            </w:r>
            <w:r>
              <w:fldChar w:fldCharType="separate"/>
            </w:r>
            <w:r>
              <w:t>18</w:t>
            </w:r>
            <w:r>
              <w:fldChar w:fldCharType="end"/>
            </w:r>
          </w:hyperlink>
        </w:p>
        <w:p>
          <w:pPr>
            <w:pStyle w:val="12"/>
            <w:ind w:left="720"/>
            <w:tabs>
              <w:tab w:val="right" w:leader="dot" w:pos="9026"/>
            </w:tabs>
            <w:spacing w:before="120" w:after="60"/>
          </w:pPr>
          <w:hyperlink w:anchor="_Toc100064" w:history="1">
            <w:r>
              <w:rPr>
                <w:rStyle w:val="Hyperlink"/>
              </w:rPr>
              <w:t>13.4 Training Phase Schedule</w:t>
            </w:r>
            <w:r>
              <w:tab/>
            </w:r>
            <w:r>
              <w:fldChar w:fldCharType="begin"/>
            </w:r>
            <w:r>
              <w:instrText xml:space="preserve"> PAGEREF _Toc100064 \h </w:instrText>
            </w:r>
            <w:r>
              <w:fldChar w:fldCharType="separate"/>
            </w:r>
            <w:r>
              <w:t>18</w:t>
            </w:r>
            <w:r>
              <w:fldChar w:fldCharType="end"/>
            </w:r>
          </w:hyperlink>
        </w:p>
        <w:p>
          <w:pPr>
            <w:pStyle w:val="12"/>
            <w:ind w:left="720"/>
            <w:tabs>
              <w:tab w:val="right" w:leader="dot" w:pos="9026"/>
            </w:tabs>
            <w:spacing w:before="120" w:after="60"/>
          </w:pPr>
          <w:hyperlink w:anchor="_Toc100065" w:history="1">
            <w:r>
              <w:rPr>
                <w:rStyle w:val="Hyperlink"/>
              </w:rPr>
              <w:t>13.5 Gradient Monitoring</w:t>
            </w:r>
            <w:r>
              <w:tab/>
            </w:r>
            <w:r>
              <w:fldChar w:fldCharType="begin"/>
            </w:r>
            <w:r>
              <w:instrText xml:space="preserve"> PAGEREF _Toc100065 \h </w:instrText>
            </w:r>
            <w:r>
              <w:fldChar w:fldCharType="separate"/>
            </w:r>
            <w:r>
              <w:t>18</w:t>
            </w:r>
            <w:r>
              <w:fldChar w:fldCharType="end"/>
            </w:r>
          </w:hyperlink>
        </w:p>
        <w:p>
          <w:pPr>
            <w:pStyle w:val="11"/>
            <w:ind w:left="360"/>
            <w:tabs>
              <w:tab w:val="right" w:leader="dot" w:pos="9026"/>
            </w:tabs>
            <w:spacing w:before="120" w:after="60"/>
          </w:pPr>
          <w:hyperlink w:anchor="_Toc100066" w:history="1">
            <w:r>
              <w:rPr>
                <w:rStyle w:val="Hyperlink"/>
              </w:rPr>
              <w:t>14. SSL Stability Monitoring</w:t>
            </w:r>
            <w:r>
              <w:tab/>
            </w:r>
            <w:r>
              <w:fldChar w:fldCharType="begin"/>
            </w:r>
            <w:r>
              <w:instrText xml:space="preserve"> PAGEREF _Toc100066 \h </w:instrText>
            </w:r>
            <w:r>
              <w:fldChar w:fldCharType="separate"/>
            </w:r>
            <w:r>
              <w:t>18</w:t>
            </w:r>
            <w:r>
              <w:fldChar w:fldCharType="end"/>
            </w:r>
          </w:hyperlink>
        </w:p>
        <w:p>
          <w:pPr>
            <w:pStyle w:val="12"/>
            <w:ind w:left="720"/>
            <w:tabs>
              <w:tab w:val="right" w:leader="dot" w:pos="9026"/>
            </w:tabs>
            <w:spacing w:before="120" w:after="60"/>
          </w:pPr>
          <w:hyperlink w:anchor="_Toc100067" w:history="1">
            <w:r>
              <w:rPr>
                <w:rStyle w:val="Hyperlink"/>
              </w:rPr>
              <w:t>14.1 Monitored Quantities</w:t>
            </w:r>
            <w:r>
              <w:tab/>
            </w:r>
            <w:r>
              <w:fldChar w:fldCharType="begin"/>
            </w:r>
            <w:r>
              <w:instrText xml:space="preserve"> PAGEREF _Toc100067 \h </w:instrText>
            </w:r>
            <w:r>
              <w:fldChar w:fldCharType="separate"/>
            </w:r>
            <w:r>
              <w:t>18</w:t>
            </w:r>
            <w:r>
              <w:fldChar w:fldCharType="end"/>
            </w:r>
          </w:hyperlink>
        </w:p>
        <w:p>
          <w:pPr>
            <w:pStyle w:val="12"/>
            <w:ind w:left="720"/>
            <w:tabs>
              <w:tab w:val="right" w:leader="dot" w:pos="9026"/>
            </w:tabs>
            <w:spacing w:before="120" w:after="60"/>
          </w:pPr>
          <w:hyperlink w:anchor="_Toc100068" w:history="1">
            <w:r>
              <w:rPr>
                <w:rStyle w:val="Hyperlink"/>
              </w:rPr>
              <w:t>14.2 Collapse Response Protocol</w:t>
            </w:r>
            <w:r>
              <w:tab/>
            </w:r>
            <w:r>
              <w:fldChar w:fldCharType="begin"/>
            </w:r>
            <w:r>
              <w:instrText xml:space="preserve"> PAGEREF _Toc100068 \h </w:instrText>
            </w:r>
            <w:r>
              <w:fldChar w:fldCharType="separate"/>
            </w:r>
            <w:r>
              <w:t>18</w:t>
            </w:r>
            <w:r>
              <w:fldChar w:fldCharType="end"/>
            </w:r>
          </w:hyperlink>
        </w:p>
        <w:p>
          <w:pPr>
            <w:pStyle w:val="9"/>
            <w:tabs>
              <w:tab w:val="right" w:leader="dot" w:pos="9026"/>
            </w:tabs>
            <w:spacing w:before="120" w:after="60"/>
          </w:pPr>
          <w:hyperlink w:anchor="_Toc100069" w:history="1">
            <w:r>
              <w:rPr>
                <w:rStyle w:val="Hyperlink"/>
              </w:rPr>
              <w:t>Part V: Physics Framework</w:t>
            </w:r>
            <w:r>
              <w:tab/>
            </w:r>
            <w:r>
              <w:fldChar w:fldCharType="begin"/>
            </w:r>
            <w:r>
              <w:instrText xml:space="preserve"> PAGEREF _Toc100069 \h </w:instrText>
            </w:r>
            <w:r>
              <w:fldChar w:fldCharType="separate"/>
            </w:r>
            <w:r>
              <w:t>18</w:t>
            </w:r>
            <w:r>
              <w:fldChar w:fldCharType="end"/>
            </w:r>
          </w:hyperlink>
        </w:p>
        <w:p>
          <w:pPr>
            <w:pStyle w:val="11"/>
            <w:ind w:left="360"/>
            <w:tabs>
              <w:tab w:val="right" w:leader="dot" w:pos="9026"/>
            </w:tabs>
            <w:spacing w:before="120" w:after="60"/>
          </w:pPr>
          <w:hyperlink w:anchor="_Toc100070" w:history="1">
            <w:r>
              <w:rPr>
                <w:rStyle w:val="Hyperlink"/>
              </w:rPr>
              <w:t>15. Water-Balance Constraint</w:t>
            </w:r>
            <w:r>
              <w:tab/>
            </w:r>
            <w:r>
              <w:fldChar w:fldCharType="begin"/>
            </w:r>
            <w:r>
              <w:instrText xml:space="preserve"> PAGEREF _Toc100070 \h </w:instrText>
            </w:r>
            <w:r>
              <w:fldChar w:fldCharType="separate"/>
            </w:r>
            <w:r>
              <w:t>19</w:t>
            </w:r>
            <w:r>
              <w:fldChar w:fldCharType="end"/>
            </w:r>
          </w:hyperlink>
        </w:p>
        <w:p>
          <w:pPr>
            <w:pStyle w:val="12"/>
            <w:ind w:left="720"/>
            <w:tabs>
              <w:tab w:val="right" w:leader="dot" w:pos="9026"/>
            </w:tabs>
            <w:spacing w:before="120" w:after="60"/>
          </w:pPr>
          <w:hyperlink w:anchor="_Toc100071" w:history="1">
            <w:r>
              <w:rPr>
                <w:rStyle w:val="Hyperlink"/>
              </w:rPr>
              <w:t>15.1 Revised Water-Balance Equation</w:t>
            </w:r>
            <w:r>
              <w:tab/>
            </w:r>
            <w:r>
              <w:fldChar w:fldCharType="begin"/>
            </w:r>
            <w:r>
              <w:instrText xml:space="preserve"> PAGEREF _Toc100071 \h </w:instrText>
            </w:r>
            <w:r>
              <w:fldChar w:fldCharType="separate"/>
            </w:r>
            <w:r>
              <w:t>19</w:t>
            </w:r>
            <w:r>
              <w:fldChar w:fldCharType="end"/>
            </w:r>
          </w:hyperlink>
        </w:p>
        <w:p>
          <w:pPr>
            <w:pStyle w:val="12"/>
            <w:ind w:left="720"/>
            <w:tabs>
              <w:tab w:val="right" w:leader="dot" w:pos="9026"/>
            </w:tabs>
            <w:spacing w:before="120" w:after="60"/>
          </w:pPr>
          <w:hyperlink w:anchor="_Toc100072" w:history="1">
            <w:r>
              <w:rPr>
                <w:rStyle w:val="Hyperlink"/>
              </w:rPr>
              <w:t>15.2 I_latent: Latent Residual Water-Input Inference</w:t>
            </w:r>
            <w:r>
              <w:tab/>
            </w:r>
            <w:r>
              <w:fldChar w:fldCharType="begin"/>
            </w:r>
            <w:r>
              <w:instrText xml:space="preserve"> PAGEREF _Toc100072 \h </w:instrText>
            </w:r>
            <w:r>
              <w:fldChar w:fldCharType="separate"/>
            </w:r>
            <w:r>
              <w:t>19</w:t>
            </w:r>
            <w:r>
              <w:fldChar w:fldCharType="end"/>
            </w:r>
          </w:hyperlink>
        </w:p>
        <w:p>
          <w:pPr>
            <w:pStyle w:val="12"/>
            <w:ind w:left="720"/>
            <w:tabs>
              <w:tab w:val="right" w:leader="dot" w:pos="9026"/>
            </w:tabs>
            <w:spacing w:before="120" w:after="60"/>
          </w:pPr>
          <w:hyperlink w:anchor="_Toc100073" w:history="1">
            <w:r>
              <w:rPr>
                <w:rStyle w:val="Hyperlink"/>
              </w:rPr>
              <w:t>15.3 Physics Loss Design</w:t>
            </w:r>
            <w:r>
              <w:tab/>
            </w:r>
            <w:r>
              <w:fldChar w:fldCharType="begin"/>
            </w:r>
            <w:r>
              <w:instrText xml:space="preserve"> PAGEREF _Toc100073 \h </w:instrText>
            </w:r>
            <w:r>
              <w:fldChar w:fldCharType="separate"/>
            </w:r>
            <w:r>
              <w:t>19</w:t>
            </w:r>
            <w:r>
              <w:fldChar w:fldCharType="end"/>
            </w:r>
          </w:hyperlink>
        </w:p>
        <w:p>
          <w:pPr>
            <w:pStyle w:val="12"/>
            <w:ind w:left="720"/>
            <w:tabs>
              <w:tab w:val="right" w:leader="dot" w:pos="9026"/>
            </w:tabs>
            <w:spacing w:before="120" w:after="60"/>
          </w:pPr>
          <w:hyperlink w:anchor="_Toc100074" w:history="1">
            <w:r>
              <w:rPr>
                <w:rStyle w:val="Hyperlink"/>
              </w:rPr>
              <w:t>15.4 Scale Considerations for Water Balance</w:t>
            </w:r>
            <w:r>
              <w:tab/>
            </w:r>
            <w:r>
              <w:fldChar w:fldCharType="begin"/>
            </w:r>
            <w:r>
              <w:instrText xml:space="preserve"> PAGEREF _Toc100074 \h </w:instrText>
            </w:r>
            <w:r>
              <w:fldChar w:fldCharType="separate"/>
            </w:r>
            <w:r>
              <w:t>20</w:t>
            </w:r>
            <w:r>
              <w:fldChar w:fldCharType="end"/>
            </w:r>
          </w:hyperlink>
        </w:p>
        <w:p>
          <w:pPr>
            <w:pStyle w:val="11"/>
            <w:ind w:left="360"/>
            <w:tabs>
              <w:tab w:val="right" w:leader="dot" w:pos="9026"/>
            </w:tabs>
            <w:spacing w:before="120" w:after="60"/>
          </w:pPr>
          <w:hyperlink w:anchor="_Toc100075" w:history="1">
            <w:r>
              <w:rPr>
                <w:rStyle w:val="Hyperlink"/>
              </w:rPr>
              <w:t>16. Plant-Growth Constraint</w:t>
            </w:r>
            <w:r>
              <w:tab/>
            </w:r>
            <w:r>
              <w:fldChar w:fldCharType="begin"/>
            </w:r>
            <w:r>
              <w:instrText xml:space="preserve"> PAGEREF _Toc100075 \h </w:instrText>
            </w:r>
            <w:r>
              <w:fldChar w:fldCharType="separate"/>
            </w:r>
            <w:r>
              <w:t>20</w:t>
            </w:r>
            <w:r>
              <w:fldChar w:fldCharType="end"/>
            </w:r>
          </w:hyperlink>
        </w:p>
        <w:p>
          <w:pPr>
            <w:pStyle w:val="12"/>
            <w:ind w:left="720"/>
            <w:tabs>
              <w:tab w:val="right" w:leader="dot" w:pos="9026"/>
            </w:tabs>
            <w:spacing w:before="120" w:after="60"/>
          </w:pPr>
          <w:hyperlink w:anchor="_Toc100076" w:history="1">
            <w:r>
              <w:rPr>
                <w:rStyle w:val="Hyperlink"/>
              </w:rPr>
              <w:t>16.1 Growing Degree Days Accumulation</w:t>
            </w:r>
            <w:r>
              <w:tab/>
            </w:r>
            <w:r>
              <w:fldChar w:fldCharType="begin"/>
            </w:r>
            <w:r>
              <w:instrText xml:space="preserve"> PAGEREF _Toc100076 \h </w:instrText>
            </w:r>
            <w:r>
              <w:fldChar w:fldCharType="separate"/>
            </w:r>
            <w:r>
              <w:t>20</w:t>
            </w:r>
            <w:r>
              <w:fldChar w:fldCharType="end"/>
            </w:r>
          </w:hyperlink>
        </w:p>
        <w:p>
          <w:pPr>
            <w:pStyle w:val="12"/>
            <w:ind w:left="720"/>
            <w:tabs>
              <w:tab w:val="right" w:leader="dot" w:pos="9026"/>
            </w:tabs>
            <w:spacing w:before="120" w:after="60"/>
          </w:pPr>
          <w:hyperlink w:anchor="_Toc100077" w:history="1">
            <w:r>
              <w:rPr>
                <w:rStyle w:val="Hyperlink"/>
              </w:rPr>
              <w:t>16.2 Growth Constraint Formulation</w:t>
            </w:r>
            <w:r>
              <w:tab/>
            </w:r>
            <w:r>
              <w:fldChar w:fldCharType="begin"/>
            </w:r>
            <w:r>
              <w:instrText xml:space="preserve"> PAGEREF _Toc100077 \h </w:instrText>
            </w:r>
            <w:r>
              <w:fldChar w:fldCharType="separate"/>
            </w:r>
            <w:r>
              <w:t>20</w:t>
            </w:r>
            <w:r>
              <w:fldChar w:fldCharType="end"/>
            </w:r>
          </w:hyperlink>
        </w:p>
        <w:p>
          <w:pPr>
            <w:pStyle w:val="12"/>
            <w:ind w:left="720"/>
            <w:tabs>
              <w:tab w:val="right" w:leader="dot" w:pos="9026"/>
            </w:tabs>
            <w:spacing w:before="120" w:after="60"/>
          </w:pPr>
          <w:hyperlink w:anchor="_Toc100078" w:history="1">
            <w:r>
              <w:rPr>
                <w:rStyle w:val="Hyperlink"/>
              </w:rPr>
              <w:t>16.3 Plant Growth Validation Metrics</w:t>
            </w:r>
            <w:r>
              <w:tab/>
            </w:r>
            <w:r>
              <w:fldChar w:fldCharType="begin"/>
            </w:r>
            <w:r>
              <w:instrText xml:space="preserve"> PAGEREF _Toc100078 \h </w:instrText>
            </w:r>
            <w:r>
              <w:fldChar w:fldCharType="separate"/>
            </w:r>
            <w:r>
              <w:t>21</w:t>
            </w:r>
            <w:r>
              <w:fldChar w:fldCharType="end"/>
            </w:r>
          </w:hyperlink>
        </w:p>
        <w:p>
          <w:pPr>
            <w:pStyle w:val="11"/>
            <w:ind w:left="360"/>
            <w:tabs>
              <w:tab w:val="right" w:leader="dot" w:pos="9026"/>
            </w:tabs>
            <w:spacing w:before="120" w:after="60"/>
          </w:pPr>
          <w:hyperlink w:anchor="_Toc100079" w:history="1">
            <w:r>
              <w:rPr>
                <w:rStyle w:val="Hyperlink"/>
              </w:rPr>
              <w:t>17. Physics Acceptance Criteria</w:t>
            </w:r>
            <w:r>
              <w:tab/>
            </w:r>
            <w:r>
              <w:fldChar w:fldCharType="begin"/>
            </w:r>
            <w:r>
              <w:instrText xml:space="preserve"> PAGEREF _Toc100079 \h </w:instrText>
            </w:r>
            <w:r>
              <w:fldChar w:fldCharType="separate"/>
            </w:r>
            <w:r>
              <w:t>21</w:t>
            </w:r>
            <w:r>
              <w:fldChar w:fldCharType="end"/>
            </w:r>
          </w:hyperlink>
        </w:p>
        <w:p>
          <w:pPr>
            <w:pStyle w:val="9"/>
            <w:tabs>
              <w:tab w:val="right" w:leader="dot" w:pos="9026"/>
            </w:tabs>
            <w:spacing w:before="120" w:after="60"/>
          </w:pPr>
          <w:hyperlink w:anchor="_Toc100080" w:history="1">
            <w:r>
              <w:rPr>
                <w:rStyle w:val="Hyperlink"/>
              </w:rPr>
              <w:t>Part VI: Causal Framework</w:t>
            </w:r>
            <w:r>
              <w:tab/>
            </w:r>
            <w:r>
              <w:fldChar w:fldCharType="begin"/>
            </w:r>
            <w:r>
              <w:instrText xml:space="preserve"> PAGEREF _Toc100080 \h </w:instrText>
            </w:r>
            <w:r>
              <w:fldChar w:fldCharType="separate"/>
            </w:r>
            <w:r>
              <w:t>22</w:t>
            </w:r>
            <w:r>
              <w:fldChar w:fldCharType="end"/>
            </w:r>
          </w:hyperlink>
        </w:p>
        <w:p>
          <w:pPr>
            <w:pStyle w:val="11"/>
            <w:ind w:left="360"/>
            <w:tabs>
              <w:tab w:val="right" w:leader="dot" w:pos="9026"/>
            </w:tabs>
            <w:spacing w:before="120" w:after="60"/>
          </w:pPr>
          <w:hyperlink w:anchor="_Toc100081" w:history="1">
            <w:r>
              <w:rPr>
                <w:rStyle w:val="Hyperlink"/>
              </w:rPr>
              <w:t>18. Temporal DAG Specification</w:t>
            </w:r>
            <w:r>
              <w:tab/>
            </w:r>
            <w:r>
              <w:fldChar w:fldCharType="begin"/>
            </w:r>
            <w:r>
              <w:instrText xml:space="preserve"> PAGEREF _Toc100081 \h </w:instrText>
            </w:r>
            <w:r>
              <w:fldChar w:fldCharType="separate"/>
            </w:r>
            <w:r>
              <w:t>22</w:t>
            </w:r>
            <w:r>
              <w:fldChar w:fldCharType="end"/>
            </w:r>
          </w:hyperlink>
        </w:p>
        <w:p>
          <w:pPr>
            <w:pStyle w:val="12"/>
            <w:ind w:left="720"/>
            <w:tabs>
              <w:tab w:val="right" w:leader="dot" w:pos="9026"/>
            </w:tabs>
            <w:spacing w:before="120" w:after="60"/>
          </w:pPr>
          <w:hyperlink w:anchor="_Toc100082" w:history="1">
            <w:r>
              <w:rPr>
                <w:rStyle w:val="Hyperlink"/>
              </w:rPr>
              <w:t>18.1 Complete Temporal DAG Equations</w:t>
            </w:r>
            <w:r>
              <w:tab/>
            </w:r>
            <w:r>
              <w:fldChar w:fldCharType="begin"/>
            </w:r>
            <w:r>
              <w:instrText xml:space="preserve"> PAGEREF _Toc100082 \h </w:instrText>
            </w:r>
            <w:r>
              <w:fldChar w:fldCharType="separate"/>
            </w:r>
            <w:r>
              <w:t>22</w:t>
            </w:r>
            <w:r>
              <w:fldChar w:fldCharType="end"/>
            </w:r>
          </w:hyperlink>
        </w:p>
        <w:p>
          <w:pPr>
            <w:pStyle w:val="12"/>
            <w:ind w:left="720"/>
            <w:tabs>
              <w:tab w:val="right" w:leader="dot" w:pos="9026"/>
            </w:tabs>
            <w:spacing w:before="120" w:after="60"/>
          </w:pPr>
          <w:hyperlink w:anchor="_Toc100083" w:history="1">
            <w:r>
              <w:rPr>
                <w:rStyle w:val="Hyperlink"/>
              </w:rPr>
              <w:t>18.2 Edge Strength Learning</w:t>
            </w:r>
            <w:r>
              <w:tab/>
            </w:r>
            <w:r>
              <w:fldChar w:fldCharType="begin"/>
            </w:r>
            <w:r>
              <w:instrText xml:space="preserve"> PAGEREF _Toc100083 \h </w:instrText>
            </w:r>
            <w:r>
              <w:fldChar w:fldCharType="separate"/>
            </w:r>
            <w:r>
              <w:t>23</w:t>
            </w:r>
            <w:r>
              <w:fldChar w:fldCharType="end"/>
            </w:r>
          </w:hyperlink>
        </w:p>
        <w:p>
          <w:pPr>
            <w:pStyle w:val="12"/>
            <w:ind w:left="720"/>
            <w:tabs>
              <w:tab w:val="right" w:leader="dot" w:pos="9026"/>
            </w:tabs>
            <w:spacing w:before="120" w:after="60"/>
          </w:pPr>
          <w:hyperlink w:anchor="_Toc100084" w:history="1">
            <w:r>
              <w:rPr>
                <w:rStyle w:val="Hyperlink"/>
              </w:rPr>
              <w:t>18.3 Causal Loss</w:t>
            </w:r>
            <w:r>
              <w:tab/>
            </w:r>
            <w:r>
              <w:fldChar w:fldCharType="begin"/>
            </w:r>
            <w:r>
              <w:instrText xml:space="preserve"> PAGEREF _Toc100084 \h </w:instrText>
            </w:r>
            <w:r>
              <w:fldChar w:fldCharType="separate"/>
            </w:r>
            <w:r>
              <w:t>23</w:t>
            </w:r>
            <w:r>
              <w:fldChar w:fldCharType="end"/>
            </w:r>
          </w:hyperlink>
        </w:p>
        <w:p>
          <w:pPr>
            <w:pStyle w:val="11"/>
            <w:ind w:left="360"/>
            <w:tabs>
              <w:tab w:val="right" w:leader="dot" w:pos="9026"/>
            </w:tabs>
            <w:spacing w:before="120" w:after="60"/>
          </w:pPr>
          <w:hyperlink w:anchor="_Toc100085" w:history="1">
            <w:r>
              <w:rPr>
                <w:rStyle w:val="Hyperlink"/>
              </w:rPr>
              <w:t>19. Causal Validation Metrics</w:t>
            </w:r>
            <w:r>
              <w:tab/>
            </w:r>
            <w:r>
              <w:fldChar w:fldCharType="begin"/>
            </w:r>
            <w:r>
              <w:instrText xml:space="preserve"> PAGEREF _Toc100085 \h </w:instrText>
            </w:r>
            <w:r>
              <w:fldChar w:fldCharType="separate"/>
            </w:r>
            <w:r>
              <w:t>24</w:t>
            </w:r>
            <w:r>
              <w:fldChar w:fldCharType="end"/>
            </w:r>
          </w:hyperlink>
        </w:p>
        <w:p>
          <w:pPr>
            <w:pStyle w:val="12"/>
            <w:ind w:left="720"/>
            <w:tabs>
              <w:tab w:val="right" w:leader="dot" w:pos="9026"/>
            </w:tabs>
            <w:spacing w:before="120" w:after="60"/>
          </w:pPr>
          <w:hyperlink w:anchor="_Toc100086" w:history="1">
            <w:r>
              <w:rPr>
                <w:rStyle w:val="Hyperlink"/>
              </w:rPr>
              <w:t>19.1 Causal Validation Tests</w:t>
            </w:r>
            <w:r>
              <w:tab/>
            </w:r>
            <w:r>
              <w:fldChar w:fldCharType="begin"/>
            </w:r>
            <w:r>
              <w:instrText xml:space="preserve"> PAGEREF _Toc100086 \h </w:instrText>
            </w:r>
            <w:r>
              <w:fldChar w:fldCharType="separate"/>
            </w:r>
            <w:r>
              <w:t>24</w:t>
            </w:r>
            <w:r>
              <w:fldChar w:fldCharType="end"/>
            </w:r>
          </w:hyperlink>
        </w:p>
        <w:p>
          <w:pPr>
            <w:pStyle w:val="12"/>
            <w:ind w:left="720"/>
            <w:tabs>
              <w:tab w:val="right" w:leader="dot" w:pos="9026"/>
            </w:tabs>
            <w:spacing w:before="120" w:after="60"/>
          </w:pPr>
          <w:hyperlink w:anchor="_Toc100087" w:history="1">
            <w:r>
              <w:rPr>
                <w:rStyle w:val="Hyperlink"/>
              </w:rPr>
              <w:t>19.2 Causal Terminology Guidelines</w:t>
            </w:r>
            <w:r>
              <w:tab/>
            </w:r>
            <w:r>
              <w:fldChar w:fldCharType="begin"/>
            </w:r>
            <w:r>
              <w:instrText xml:space="preserve"> PAGEREF _Toc100087 \h </w:instrText>
            </w:r>
            <w:r>
              <w:fldChar w:fldCharType="separate"/>
            </w:r>
            <w:r>
              <w:t>24</w:t>
            </w:r>
            <w:r>
              <w:fldChar w:fldCharType="end"/>
            </w:r>
          </w:hyperlink>
        </w:p>
        <w:p>
          <w:pPr>
            <w:pStyle w:val="11"/>
            <w:ind w:left="360"/>
            <w:tabs>
              <w:tab w:val="right" w:leader="dot" w:pos="9026"/>
            </w:tabs>
            <w:spacing w:before="120" w:after="60"/>
          </w:pPr>
          <w:hyperlink w:anchor="_Toc100088" w:history="1">
            <w:r>
              <w:rPr>
                <w:rStyle w:val="Hyperlink"/>
              </w:rPr>
              <w:t>20. Counterfactual Module Status</w:t>
            </w:r>
            <w:r>
              <w:tab/>
            </w:r>
            <w:r>
              <w:fldChar w:fldCharType="begin"/>
            </w:r>
            <w:r>
              <w:instrText xml:space="preserve"> PAGEREF _Toc100088 \h </w:instrText>
            </w:r>
            <w:r>
              <w:fldChar w:fldCharType="separate"/>
            </w:r>
            <w:r>
              <w:t>24</w:t>
            </w:r>
            <w:r>
              <w:fldChar w:fldCharType="end"/>
            </w:r>
          </w:hyperlink>
        </w:p>
        <w:p>
          <w:pPr>
            <w:pStyle w:val="12"/>
            <w:ind w:left="720"/>
            <w:tabs>
              <w:tab w:val="right" w:leader="dot" w:pos="9026"/>
            </w:tabs>
            <w:spacing w:before="120" w:after="60"/>
          </w:pPr>
          <w:hyperlink w:anchor="_Toc100089" w:history="1">
            <w:r>
              <w:rPr>
                <w:rStyle w:val="Hyperlink"/>
              </w:rPr>
              <w:t>20.1 Phased Counterfactual Plan</w:t>
            </w:r>
            <w:r>
              <w:tab/>
            </w:r>
            <w:r>
              <w:fldChar w:fldCharType="begin"/>
            </w:r>
            <w:r>
              <w:instrText xml:space="preserve"> PAGEREF _Toc100089 \h </w:instrText>
            </w:r>
            <w:r>
              <w:fldChar w:fldCharType="separate"/>
            </w:r>
            <w:r>
              <w:t>24</w:t>
            </w:r>
            <w:r>
              <w:fldChar w:fldCharType="end"/>
            </w:r>
          </w:hyperlink>
        </w:p>
        <w:p>
          <w:pPr>
            <w:pStyle w:val="9"/>
            <w:tabs>
              <w:tab w:val="right" w:leader="dot" w:pos="9026"/>
            </w:tabs>
            <w:spacing w:before="120" w:after="60"/>
          </w:pPr>
          <w:hyperlink w:anchor="_Toc100090" w:history="1">
            <w:r>
              <w:rPr>
                <w:rStyle w:val="Hyperlink"/>
              </w:rPr>
              <w:t>Part VII: Evaluation Framework</w:t>
            </w:r>
            <w:r>
              <w:tab/>
            </w:r>
            <w:r>
              <w:fldChar w:fldCharType="begin"/>
            </w:r>
            <w:r>
              <w:instrText xml:space="preserve"> PAGEREF _Toc100090 \h </w:instrText>
            </w:r>
            <w:r>
              <w:fldChar w:fldCharType="separate"/>
            </w:r>
            <w:r>
              <w:t>24</w:t>
            </w:r>
            <w:r>
              <w:fldChar w:fldCharType="end"/>
            </w:r>
          </w:hyperlink>
        </w:p>
        <w:p>
          <w:pPr>
            <w:pStyle w:val="11"/>
            <w:ind w:left="360"/>
            <w:tabs>
              <w:tab w:val="right" w:leader="dot" w:pos="9026"/>
            </w:tabs>
            <w:spacing w:before="120" w:after="60"/>
          </w:pPr>
          <w:hyperlink w:anchor="_Toc100091" w:history="1">
            <w:r>
              <w:rPr>
                <w:rStyle w:val="Hyperlink"/>
              </w:rPr>
              <w:t>21. Baseline Specifications</w:t>
            </w:r>
            <w:r>
              <w:tab/>
            </w:r>
            <w:r>
              <w:fldChar w:fldCharType="begin"/>
            </w:r>
            <w:r>
              <w:instrText xml:space="preserve"> PAGEREF _Toc100091 \h </w:instrText>
            </w:r>
            <w:r>
              <w:fldChar w:fldCharType="separate"/>
            </w:r>
            <w:r>
              <w:t>24</w:t>
            </w:r>
            <w:r>
              <w:fldChar w:fldCharType="end"/>
            </w:r>
          </w:hyperlink>
        </w:p>
        <w:p>
          <w:pPr>
            <w:pStyle w:val="12"/>
            <w:ind w:left="720"/>
            <w:tabs>
              <w:tab w:val="right" w:leader="dot" w:pos="9026"/>
            </w:tabs>
            <w:spacing w:before="120" w:after="60"/>
          </w:pPr>
          <w:hyperlink w:anchor="_Toc100092" w:history="1">
            <w:r>
              <w:rPr>
                <w:rStyle w:val="Hyperlink"/>
              </w:rPr>
              <w:t>21.1 Required Baselines</w:t>
            </w:r>
            <w:r>
              <w:tab/>
            </w:r>
            <w:r>
              <w:fldChar w:fldCharType="begin"/>
            </w:r>
            <w:r>
              <w:instrText xml:space="preserve"> PAGEREF _Toc100092 \h </w:instrText>
            </w:r>
            <w:r>
              <w:fldChar w:fldCharType="separate"/>
            </w:r>
            <w:r>
              <w:t>25</w:t>
            </w:r>
            <w:r>
              <w:fldChar w:fldCharType="end"/>
            </w:r>
          </w:hyperlink>
        </w:p>
        <w:p>
          <w:pPr>
            <w:pStyle w:val="11"/>
            <w:ind w:left="360"/>
            <w:tabs>
              <w:tab w:val="right" w:leader="dot" w:pos="9026"/>
            </w:tabs>
            <w:spacing w:before="120" w:after="60"/>
          </w:pPr>
          <w:hyperlink w:anchor="_Toc100093" w:history="1">
            <w:r>
              <w:rPr>
                <w:rStyle w:val="Hyperlink"/>
              </w:rPr>
              <w:t>22. Evaluation Split Protocol</w:t>
            </w:r>
            <w:r>
              <w:tab/>
            </w:r>
            <w:r>
              <w:fldChar w:fldCharType="begin"/>
            </w:r>
            <w:r>
              <w:instrText xml:space="preserve"> PAGEREF _Toc100093 \h </w:instrText>
            </w:r>
            <w:r>
              <w:fldChar w:fldCharType="separate"/>
            </w:r>
            <w:r>
              <w:t>25</w:t>
            </w:r>
            <w:r>
              <w:fldChar w:fldCharType="end"/>
            </w:r>
          </w:hyperlink>
        </w:p>
        <w:p>
          <w:pPr>
            <w:pStyle w:val="11"/>
            <w:ind w:left="360"/>
            <w:tabs>
              <w:tab w:val="right" w:leader="dot" w:pos="9026"/>
            </w:tabs>
            <w:spacing w:before="120" w:after="60"/>
          </w:pPr>
          <w:hyperlink w:anchor="_Toc100094" w:history="1">
            <w:r>
              <w:rPr>
                <w:rStyle w:val="Hyperlink"/>
              </w:rPr>
              <w:t>23. Task Metrics and Thresholds</w:t>
            </w:r>
            <w:r>
              <w:tab/>
            </w:r>
            <w:r>
              <w:fldChar w:fldCharType="begin"/>
            </w:r>
            <w:r>
              <w:instrText xml:space="preserve"> PAGEREF _Toc100094 \h </w:instrText>
            </w:r>
            <w:r>
              <w:fldChar w:fldCharType="separate"/>
            </w:r>
            <w:r>
              <w:t>25</w:t>
            </w:r>
            <w:r>
              <w:fldChar w:fldCharType="end"/>
            </w:r>
          </w:hyperlink>
        </w:p>
        <w:p>
          <w:pPr>
            <w:pStyle w:val="12"/>
            <w:ind w:left="720"/>
            <w:tabs>
              <w:tab w:val="right" w:leader="dot" w:pos="9026"/>
            </w:tabs>
            <w:spacing w:before="120" w:after="60"/>
          </w:pPr>
          <w:hyperlink w:anchor="_Toc100095" w:history="1">
            <w:r>
              <w:rPr>
                <w:rStyle w:val="Hyperlink"/>
              </w:rPr>
              <w:t>23.1 Crop Stress Detection</w:t>
            </w:r>
            <w:r>
              <w:tab/>
            </w:r>
            <w:r>
              <w:fldChar w:fldCharType="begin"/>
            </w:r>
            <w:r>
              <w:instrText xml:space="preserve"> PAGEREF _Toc100095 \h </w:instrText>
            </w:r>
            <w:r>
              <w:fldChar w:fldCharType="separate"/>
            </w:r>
            <w:r>
              <w:t>25</w:t>
            </w:r>
            <w:r>
              <w:fldChar w:fldCharType="end"/>
            </w:r>
          </w:hyperlink>
        </w:p>
        <w:p>
          <w:pPr>
            <w:pStyle w:val="12"/>
            <w:ind w:left="720"/>
            <w:tabs>
              <w:tab w:val="right" w:leader="dot" w:pos="9026"/>
            </w:tabs>
            <w:spacing w:before="120" w:after="60"/>
          </w:pPr>
          <w:hyperlink w:anchor="_Toc100096" w:history="1">
            <w:r>
              <w:rPr>
                <w:rStyle w:val="Hyperlink"/>
              </w:rPr>
              <w:t>23.2 Phenology Forecasting</w:t>
            </w:r>
            <w:r>
              <w:tab/>
            </w:r>
            <w:r>
              <w:fldChar w:fldCharType="begin"/>
            </w:r>
            <w:r>
              <w:instrText xml:space="preserve"> PAGEREF _Toc100096 \h </w:instrText>
            </w:r>
            <w:r>
              <w:fldChar w:fldCharType="separate"/>
            </w:r>
            <w:r>
              <w:t>25</w:t>
            </w:r>
            <w:r>
              <w:fldChar w:fldCharType="end"/>
            </w:r>
          </w:hyperlink>
        </w:p>
        <w:p>
          <w:pPr>
            <w:pStyle w:val="12"/>
            <w:ind w:left="720"/>
            <w:tabs>
              <w:tab w:val="right" w:leader="dot" w:pos="9026"/>
            </w:tabs>
            <w:spacing w:before="120" w:after="60"/>
          </w:pPr>
          <w:hyperlink w:anchor="_Toc100097" w:history="1">
            <w:r>
              <w:rPr>
                <w:rStyle w:val="Hyperlink"/>
              </w:rPr>
              <w:t>23.3 Drought Forecasting</w:t>
            </w:r>
            <w:r>
              <w:tab/>
            </w:r>
            <w:r>
              <w:fldChar w:fldCharType="begin"/>
            </w:r>
            <w:r>
              <w:instrText xml:space="preserve"> PAGEREF _Toc100097 \h </w:instrText>
            </w:r>
            <w:r>
              <w:fldChar w:fldCharType="separate"/>
            </w:r>
            <w:r>
              <w:t>25</w:t>
            </w:r>
            <w:r>
              <w:fldChar w:fldCharType="end"/>
            </w:r>
          </w:hyperlink>
        </w:p>
        <w:p>
          <w:pPr>
            <w:pStyle w:val="12"/>
            <w:ind w:left="720"/>
            <w:tabs>
              <w:tab w:val="right" w:leader="dot" w:pos="9026"/>
            </w:tabs>
            <w:spacing w:before="120" w:after="60"/>
          </w:pPr>
          <w:hyperlink w:anchor="_Toc100098" w:history="1">
            <w:r>
              <w:rPr>
                <w:rStyle w:val="Hyperlink"/>
              </w:rPr>
              <w:t>23.4 Yield-Risk Prediction</w:t>
            </w:r>
            <w:r>
              <w:tab/>
            </w:r>
            <w:r>
              <w:fldChar w:fldCharType="begin"/>
            </w:r>
            <w:r>
              <w:instrText xml:space="preserve"> PAGEREF _Toc100098 \h </w:instrText>
            </w:r>
            <w:r>
              <w:fldChar w:fldCharType="separate"/>
            </w:r>
            <w:r>
              <w:t>25</w:t>
            </w:r>
            <w:r>
              <w:fldChar w:fldCharType="end"/>
            </w:r>
          </w:hyperlink>
        </w:p>
        <w:p>
          <w:pPr>
            <w:pStyle w:val="12"/>
            <w:ind w:left="720"/>
            <w:tabs>
              <w:tab w:val="right" w:leader="dot" w:pos="9026"/>
            </w:tabs>
            <w:spacing w:before="120" w:after="60"/>
          </w:pPr>
          <w:hyperlink w:anchor="_Toc100099" w:history="1">
            <w:r>
              <w:rPr>
                <w:rStyle w:val="Hyperlink"/>
              </w:rPr>
              <w:t>23.5 Representation Quality</w:t>
            </w:r>
            <w:r>
              <w:tab/>
            </w:r>
            <w:r>
              <w:fldChar w:fldCharType="begin"/>
            </w:r>
            <w:r>
              <w:instrText xml:space="preserve"> PAGEREF _Toc100099 \h </w:instrText>
            </w:r>
            <w:r>
              <w:fldChar w:fldCharType="separate"/>
            </w:r>
            <w:r>
              <w:t>25</w:t>
            </w:r>
            <w:r>
              <w:fldChar w:fldCharType="end"/>
            </w:r>
          </w:hyperlink>
        </w:p>
        <w:p>
          <w:pPr>
            <w:pStyle w:val="12"/>
            <w:ind w:left="720"/>
            <w:tabs>
              <w:tab w:val="right" w:leader="dot" w:pos="9026"/>
            </w:tabs>
            <w:spacing w:before="120" w:after="60"/>
          </w:pPr>
          <w:hyperlink w:anchor="_Toc100100" w:history="1">
            <w:r>
              <w:rPr>
                <w:rStyle w:val="Hyperlink"/>
              </w:rPr>
              <w:t>23.6 Physics Consistency</w:t>
            </w:r>
            <w:r>
              <w:tab/>
            </w:r>
            <w:r>
              <w:fldChar w:fldCharType="begin"/>
            </w:r>
            <w:r>
              <w:instrText xml:space="preserve"> PAGEREF _Toc100100 \h </w:instrText>
            </w:r>
            <w:r>
              <w:fldChar w:fldCharType="separate"/>
            </w:r>
            <w:r>
              <w:t>26</w:t>
            </w:r>
            <w:r>
              <w:fldChar w:fldCharType="end"/>
            </w:r>
          </w:hyperlink>
        </w:p>
        <w:p>
          <w:pPr>
            <w:pStyle w:val="12"/>
            <w:ind w:left="720"/>
            <w:tabs>
              <w:tab w:val="right" w:leader="dot" w:pos="9026"/>
            </w:tabs>
            <w:spacing w:before="120" w:after="60"/>
          </w:pPr>
          <w:hyperlink w:anchor="_Toc100101" w:history="1">
            <w:r>
              <w:rPr>
                <w:rStyle w:val="Hyperlink"/>
              </w:rPr>
              <w:t>23.7 Causal Plausibility</w:t>
            </w:r>
            <w:r>
              <w:tab/>
            </w:r>
            <w:r>
              <w:fldChar w:fldCharType="begin"/>
            </w:r>
            <w:r>
              <w:instrText xml:space="preserve"> PAGEREF _Toc100101 \h </w:instrText>
            </w:r>
            <w:r>
              <w:fldChar w:fldCharType="separate"/>
            </w:r>
            <w:r>
              <w:t>26</w:t>
            </w:r>
            <w:r>
              <w:fldChar w:fldCharType="end"/>
            </w:r>
          </w:hyperlink>
        </w:p>
        <w:p>
          <w:pPr>
            <w:pStyle w:val="12"/>
            <w:ind w:left="720"/>
            <w:tabs>
              <w:tab w:val="right" w:leader="dot" w:pos="9026"/>
            </w:tabs>
            <w:spacing w:before="120" w:after="60"/>
          </w:pPr>
          <w:hyperlink w:anchor="_Toc100102" w:history="1">
            <w:r>
              <w:rPr>
                <w:rStyle w:val="Hyperlink"/>
              </w:rPr>
              <w:t>23.8 Calibration</w:t>
            </w:r>
            <w:r>
              <w:tab/>
            </w:r>
            <w:r>
              <w:fldChar w:fldCharType="begin"/>
            </w:r>
            <w:r>
              <w:instrText xml:space="preserve"> PAGEREF _Toc100102 \h </w:instrText>
            </w:r>
            <w:r>
              <w:fldChar w:fldCharType="separate"/>
            </w:r>
            <w:r>
              <w:t>26</w:t>
            </w:r>
            <w:r>
              <w:fldChar w:fldCharType="end"/>
            </w:r>
          </w:hyperlink>
        </w:p>
        <w:p>
          <w:pPr>
            <w:pStyle w:val="9"/>
            <w:tabs>
              <w:tab w:val="right" w:leader="dot" w:pos="9026"/>
            </w:tabs>
            <w:spacing w:before="120" w:after="60"/>
          </w:pPr>
          <w:hyperlink w:anchor="_Toc100103" w:history="1">
            <w:r>
              <w:rPr>
                <w:rStyle w:val="Hyperlink"/>
              </w:rPr>
              <w:t>Part VIII: Implementation Roadmap</w:t>
            </w:r>
            <w:r>
              <w:tab/>
            </w:r>
            <w:r>
              <w:fldChar w:fldCharType="begin"/>
            </w:r>
            <w:r>
              <w:instrText xml:space="preserve"> PAGEREF _Toc100103 \h </w:instrText>
            </w:r>
            <w:r>
              <w:fldChar w:fldCharType="separate"/>
            </w:r>
            <w:r>
              <w:t>26</w:t>
            </w:r>
            <w:r>
              <w:fldChar w:fldCharType="end"/>
            </w:r>
          </w:hyperlink>
        </w:p>
        <w:p>
          <w:pPr>
            <w:pStyle w:val="11"/>
            <w:ind w:left="360"/>
            <w:tabs>
              <w:tab w:val="right" w:leader="dot" w:pos="9026"/>
            </w:tabs>
            <w:spacing w:before="120" w:after="60"/>
          </w:pPr>
          <w:hyperlink w:anchor="_Toc100104" w:history="1">
            <w:r>
              <w:rPr>
                <w:rStyle w:val="Hyperlink"/>
              </w:rPr>
              <w:t>24. 52-Week MVRC Roadmap</w:t>
            </w:r>
            <w:r>
              <w:tab/>
            </w:r>
            <w:r>
              <w:fldChar w:fldCharType="begin"/>
            </w:r>
            <w:r>
              <w:instrText xml:space="preserve"> PAGEREF _Toc100104 \h </w:instrText>
            </w:r>
            <w:r>
              <w:fldChar w:fldCharType="separate"/>
            </w:r>
            <w:r>
              <w:t>26</w:t>
            </w:r>
            <w:r>
              <w:fldChar w:fldCharType="end"/>
            </w:r>
          </w:hyperlink>
        </w:p>
        <w:p>
          <w:pPr>
            <w:pStyle w:val="12"/>
            <w:ind w:left="720"/>
            <w:tabs>
              <w:tab w:val="right" w:leader="dot" w:pos="9026"/>
            </w:tabs>
            <w:spacing w:before="120" w:after="60"/>
          </w:pPr>
          <w:hyperlink w:anchor="_Toc100105" w:history="1">
            <w:r>
              <w:rPr>
                <w:rStyle w:val="Hyperlink"/>
              </w:rPr>
              <w:t>24.1 Phase Breakdown</w:t>
            </w:r>
            <w:r>
              <w:tab/>
            </w:r>
            <w:r>
              <w:fldChar w:fldCharType="begin"/>
            </w:r>
            <w:r>
              <w:instrText xml:space="preserve"> PAGEREF _Toc100105 \h </w:instrText>
            </w:r>
            <w:r>
              <w:fldChar w:fldCharType="separate"/>
            </w:r>
            <w:r>
              <w:t>26</w:t>
            </w:r>
            <w:r>
              <w:fldChar w:fldCharType="end"/>
            </w:r>
          </w:hyperlink>
        </w:p>
        <w:p>
          <w:pPr>
            <w:pStyle w:val="11"/>
            <w:ind w:left="360"/>
            <w:tabs>
              <w:tab w:val="right" w:leader="dot" w:pos="9026"/>
            </w:tabs>
            <w:spacing w:before="120" w:after="60"/>
          </w:pPr>
          <w:hyperlink w:anchor="_Toc100106" w:history="1">
            <w:r>
              <w:rPr>
                <w:rStyle w:val="Hyperlink"/>
              </w:rPr>
              <w:t>25. Implementation Gates</w:t>
            </w:r>
            <w:r>
              <w:tab/>
            </w:r>
            <w:r>
              <w:fldChar w:fldCharType="begin"/>
            </w:r>
            <w:r>
              <w:instrText xml:space="preserve"> PAGEREF _Toc100106 \h </w:instrText>
            </w:r>
            <w:r>
              <w:fldChar w:fldCharType="separate"/>
            </w:r>
            <w:r>
              <w:t>26</w:t>
            </w:r>
            <w:r>
              <w:fldChar w:fldCharType="end"/>
            </w:r>
          </w:hyperlink>
        </w:p>
        <w:p>
          <w:pPr>
            <w:pStyle w:val="11"/>
            <w:ind w:left="360"/>
            <w:tabs>
              <w:tab w:val="right" w:leader="dot" w:pos="9026"/>
            </w:tabs>
            <w:spacing w:before="120" w:after="60"/>
          </w:pPr>
          <w:hyperlink w:anchor="_Toc100107" w:history="1">
            <w:r>
              <w:rPr>
                <w:rStyle w:val="Hyperlink"/>
              </w:rPr>
              <w:t>26. Compute and Reproducibility Plan</w:t>
            </w:r>
            <w:r>
              <w:tab/>
            </w:r>
            <w:r>
              <w:fldChar w:fldCharType="begin"/>
            </w:r>
            <w:r>
              <w:instrText xml:space="preserve"> PAGEREF _Toc100107 \h </w:instrText>
            </w:r>
            <w:r>
              <w:fldChar w:fldCharType="separate"/>
            </w:r>
            <w:r>
              <w:t>26</w:t>
            </w:r>
            <w:r>
              <w:fldChar w:fldCharType="end"/>
            </w:r>
          </w:hyperlink>
        </w:p>
        <w:p>
          <w:pPr>
            <w:pStyle w:val="12"/>
            <w:ind w:left="720"/>
            <w:tabs>
              <w:tab w:val="right" w:leader="dot" w:pos="9026"/>
            </w:tabs>
            <w:spacing w:before="120" w:after="60"/>
          </w:pPr>
          <w:hyperlink w:anchor="_Toc100108" w:history="1">
            <w:r>
              <w:rPr>
                <w:rStyle w:val="Hyperlink"/>
              </w:rPr>
              <w:t>26.1 Compute Budget</w:t>
            </w:r>
            <w:r>
              <w:tab/>
            </w:r>
            <w:r>
              <w:fldChar w:fldCharType="begin"/>
            </w:r>
            <w:r>
              <w:instrText xml:space="preserve"> PAGEREF _Toc100108 \h </w:instrText>
            </w:r>
            <w:r>
              <w:fldChar w:fldCharType="separate"/>
            </w:r>
            <w:r>
              <w:t>27</w:t>
            </w:r>
            <w:r>
              <w:fldChar w:fldCharType="end"/>
            </w:r>
          </w:hyperlink>
        </w:p>
        <w:p>
          <w:pPr>
            <w:pStyle w:val="9"/>
            <w:tabs>
              <w:tab w:val="right" w:leader="dot" w:pos="9026"/>
            </w:tabs>
            <w:spacing w:before="120" w:after="60"/>
          </w:pPr>
          <w:hyperlink w:anchor="_Toc100109" w:history="1">
            <w:r>
              <w:rPr>
                <w:rStyle w:val="Hyperlink"/>
              </w:rPr>
              <w:t>Part IX: Risk and Mitigation</w:t>
            </w:r>
            <w:r>
              <w:tab/>
            </w:r>
            <w:r>
              <w:fldChar w:fldCharType="begin"/>
            </w:r>
            <w:r>
              <w:instrText xml:space="preserve"> PAGEREF _Toc100109 \h </w:instrText>
            </w:r>
            <w:r>
              <w:fldChar w:fldCharType="separate"/>
            </w:r>
            <w:r>
              <w:t>27</w:t>
            </w:r>
            <w:r>
              <w:fldChar w:fldCharType="end"/>
            </w:r>
          </w:hyperlink>
        </w:p>
        <w:p>
          <w:pPr>
            <w:pStyle w:val="11"/>
            <w:ind w:left="360"/>
            <w:tabs>
              <w:tab w:val="right" w:leader="dot" w:pos="9026"/>
            </w:tabs>
            <w:spacing w:before="120" w:after="60"/>
          </w:pPr>
          <w:hyperlink w:anchor="_Toc100110" w:history="1">
            <w:r>
              <w:rPr>
                <w:rStyle w:val="Hyperlink"/>
              </w:rPr>
              <w:t>27. Risk Register</w:t>
            </w:r>
            <w:r>
              <w:tab/>
            </w:r>
            <w:r>
              <w:fldChar w:fldCharType="begin"/>
            </w:r>
            <w:r>
              <w:instrText xml:space="preserve"> PAGEREF _Toc100110 \h </w:instrText>
            </w:r>
            <w:r>
              <w:fldChar w:fldCharType="separate"/>
            </w:r>
            <w:r>
              <w:t>27</w:t>
            </w:r>
            <w:r>
              <w:fldChar w:fldCharType="end"/>
            </w:r>
          </w:hyperlink>
        </w:p>
        <w:p>
          <w:pPr>
            <w:pStyle w:val="11"/>
            <w:ind w:left="360"/>
            <w:tabs>
              <w:tab w:val="right" w:leader="dot" w:pos="9026"/>
            </w:tabs>
            <w:spacing w:before="120" w:after="60"/>
          </w:pPr>
          <w:hyperlink w:anchor="_Toc100111" w:history="1">
            <w:r>
              <w:rPr>
                <w:rStyle w:val="Hyperlink"/>
              </w:rPr>
              <w:t>28. Fallback Paths Summary</w:t>
            </w:r>
            <w:r>
              <w:tab/>
            </w:r>
            <w:r>
              <w:fldChar w:fldCharType="begin"/>
            </w:r>
            <w:r>
              <w:instrText xml:space="preserve"> PAGEREF _Toc100111 \h </w:instrText>
            </w:r>
            <w:r>
              <w:fldChar w:fldCharType="separate"/>
            </w:r>
            <w:r>
              <w:t>27</w:t>
            </w:r>
            <w:r>
              <w:fldChar w:fldCharType="end"/>
            </w:r>
          </w:hyperlink>
        </w:p>
        <w:p>
          <w:pPr>
            <w:pStyle w:val="11"/>
            <w:ind w:left="360"/>
            <w:tabs>
              <w:tab w:val="right" w:leader="dot" w:pos="9026"/>
            </w:tabs>
            <w:spacing w:before="120" w:after="60"/>
          </w:pPr>
          <w:hyperlink w:anchor="_Toc100112" w:history="1">
            <w:r>
              <w:rPr>
                <w:rStyle w:val="Hyperlink"/>
              </w:rPr>
              <w:t>29. Ethical and Communication Constraints</w:t>
            </w:r>
            <w:r>
              <w:tab/>
            </w:r>
            <w:r>
              <w:fldChar w:fldCharType="begin"/>
            </w:r>
            <w:r>
              <w:instrText xml:space="preserve"> PAGEREF _Toc100112 \h </w:instrText>
            </w:r>
            <w:r>
              <w:fldChar w:fldCharType="separate"/>
            </w:r>
            <w:r>
              <w:t>27</w:t>
            </w:r>
            <w:r>
              <w:fldChar w:fldCharType="end"/>
            </w:r>
          </w:hyperlink>
        </w:p>
        <w:p>
          <w:pPr>
            <w:pStyle w:val="12"/>
            <w:ind w:left="720"/>
            <w:tabs>
              <w:tab w:val="right" w:leader="dot" w:pos="9026"/>
            </w:tabs>
            <w:spacing w:before="120" w:after="60"/>
          </w:pPr>
          <w:hyperlink w:anchor="_Toc100113" w:history="1">
            <w:r>
              <w:rPr>
                <w:rStyle w:val="Hyperlink"/>
              </w:rPr>
              <w:t>29.1 Allowed Language</w:t>
            </w:r>
            <w:r>
              <w:tab/>
            </w:r>
            <w:r>
              <w:fldChar w:fldCharType="begin"/>
            </w:r>
            <w:r>
              <w:instrText xml:space="preserve"> PAGEREF _Toc100113 \h </w:instrText>
            </w:r>
            <w:r>
              <w:fldChar w:fldCharType="separate"/>
            </w:r>
            <w:r>
              <w:t>27</w:t>
            </w:r>
            <w:r>
              <w:fldChar w:fldCharType="end"/>
            </w:r>
          </w:hyperlink>
        </w:p>
        <w:p>
          <w:pPr>
            <w:pStyle w:val="12"/>
            <w:ind w:left="720"/>
            <w:tabs>
              <w:tab w:val="right" w:leader="dot" w:pos="9026"/>
            </w:tabs>
            <w:spacing w:before="120" w:after="60"/>
          </w:pPr>
          <w:hyperlink w:anchor="_Toc100114" w:history="1">
            <w:r>
              <w:rPr>
                <w:rStyle w:val="Hyperlink"/>
              </w:rPr>
              <w:t>29.2 Prohibited Language (in MVRC/Year 1)</w:t>
            </w:r>
            <w:r>
              <w:tab/>
            </w:r>
            <w:r>
              <w:fldChar w:fldCharType="begin"/>
            </w:r>
            <w:r>
              <w:instrText xml:space="preserve"> PAGEREF _Toc100114 \h </w:instrText>
            </w:r>
            <w:r>
              <w:fldChar w:fldCharType="separate"/>
            </w:r>
            <w:r>
              <w:t>27</w:t>
            </w:r>
            <w:r>
              <w:fldChar w:fldCharType="end"/>
            </w:r>
          </w:hyperlink>
        </w:p>
        <w:p>
          <w:pPr>
            <w:pStyle w:val="12"/>
            <w:ind w:left="720"/>
            <w:tabs>
              <w:tab w:val="right" w:leader="dot" w:pos="9026"/>
            </w:tabs>
            <w:spacing w:before="120" w:after="60"/>
          </w:pPr>
          <w:hyperlink w:anchor="_Toc100115" w:history="1">
            <w:r>
              <w:rPr>
                <w:rStyle w:val="Hyperlink"/>
              </w:rPr>
              <w:t>29.3 Required Disclaimers</w:t>
            </w:r>
            <w:r>
              <w:tab/>
            </w:r>
            <w:r>
              <w:fldChar w:fldCharType="begin"/>
            </w:r>
            <w:r>
              <w:instrText xml:space="preserve"> PAGEREF _Toc100115 \h </w:instrText>
            </w:r>
            <w:r>
              <w:fldChar w:fldCharType="separate"/>
            </w:r>
            <w:r>
              <w:t>28</w:t>
            </w:r>
            <w:r>
              <w:fldChar w:fldCharType="end"/>
            </w:r>
          </w:hyperlink>
        </w:p>
        <w:p>
          <w:pPr>
            <w:pStyle w:val="9"/>
            <w:tabs>
              <w:tab w:val="right" w:leader="dot" w:pos="9026"/>
            </w:tabs>
            <w:spacing w:before="120" w:after="60"/>
          </w:pPr>
          <w:hyperlink w:anchor="_Toc100116" w:history="1">
            <w:r>
              <w:rPr>
                <w:rStyle w:val="Hyperlink"/>
              </w:rPr>
              <w:t>Part X: Validation History and Corrections</w:t>
            </w:r>
            <w:r>
              <w:tab/>
            </w:r>
            <w:r>
              <w:fldChar w:fldCharType="begin"/>
            </w:r>
            <w:r>
              <w:instrText xml:space="preserve"> PAGEREF _Toc100116 \h </w:instrText>
            </w:r>
            <w:r>
              <w:fldChar w:fldCharType="separate"/>
            </w:r>
            <w:r>
              <w:t>28</w:t>
            </w:r>
            <w:r>
              <w:fldChar w:fldCharType="end"/>
            </w:r>
          </w:hyperlink>
        </w:p>
        <w:p>
          <w:pPr>
            <w:pStyle w:val="11"/>
            <w:ind w:left="360"/>
            <w:tabs>
              <w:tab w:val="right" w:leader="dot" w:pos="9026"/>
            </w:tabs>
            <w:spacing w:before="120" w:after="60"/>
          </w:pPr>
          <w:hyperlink w:anchor="_Toc100117" w:history="1">
            <w:r>
              <w:rPr>
                <w:rStyle w:val="Hyperlink"/>
              </w:rPr>
              <w:t>30. Blocker Resolutions (All Resolved)</w:t>
            </w:r>
            <w:r>
              <w:tab/>
            </w:r>
            <w:r>
              <w:fldChar w:fldCharType="begin"/>
            </w:r>
            <w:r>
              <w:instrText xml:space="preserve"> PAGEREF _Toc100117 \h </w:instrText>
            </w:r>
            <w:r>
              <w:fldChar w:fldCharType="separate"/>
            </w:r>
            <w:r>
              <w:t>28</w:t>
            </w:r>
            <w:r>
              <w:fldChar w:fldCharType="end"/>
            </w:r>
          </w:hyperlink>
        </w:p>
        <w:p>
          <w:pPr>
            <w:pStyle w:val="12"/>
            <w:ind w:left="720"/>
            <w:tabs>
              <w:tab w:val="right" w:leader="dot" w:pos="9026"/>
            </w:tabs>
            <w:spacing w:before="120" w:after="60"/>
          </w:pPr>
          <w:hyperlink w:anchor="_Toc100118" w:history="1">
            <w:r>
              <w:rPr>
                <w:rStyle w:val="Hyperlink"/>
              </w:rPr>
              <w:t>30.1 B1: DAG Cycle — RESOLVED</w:t>
            </w:r>
            <w:r>
              <w:tab/>
            </w:r>
            <w:r>
              <w:fldChar w:fldCharType="begin"/>
            </w:r>
            <w:r>
              <w:instrText xml:space="preserve"> PAGEREF _Toc100118 \h </w:instrText>
            </w:r>
            <w:r>
              <w:fldChar w:fldCharType="separate"/>
            </w:r>
            <w:r>
              <w:t>28</w:t>
            </w:r>
            <w:r>
              <w:fldChar w:fldCharType="end"/>
            </w:r>
          </w:hyperlink>
        </w:p>
        <w:p>
          <w:pPr>
            <w:pStyle w:val="12"/>
            <w:ind w:left="720"/>
            <w:tabs>
              <w:tab w:val="right" w:leader="dot" w:pos="9026"/>
            </w:tabs>
            <w:spacing w:before="120" w:after="60"/>
          </w:pPr>
          <w:hyperlink w:anchor="_Toc100119" w:history="1">
            <w:r>
              <w:rPr>
                <w:rStyle w:val="Hyperlink"/>
              </w:rPr>
              <w:t>30.2 B2: Timeline Realism — RESOLVED</w:t>
            </w:r>
            <w:r>
              <w:tab/>
            </w:r>
            <w:r>
              <w:fldChar w:fldCharType="begin"/>
            </w:r>
            <w:r>
              <w:instrText xml:space="preserve"> PAGEREF _Toc100119 \h </w:instrText>
            </w:r>
            <w:r>
              <w:fldChar w:fldCharType="separate"/>
            </w:r>
            <w:r>
              <w:t>28</w:t>
            </w:r>
            <w:r>
              <w:fldChar w:fldCharType="end"/>
            </w:r>
          </w:hyperlink>
        </w:p>
        <w:p>
          <w:pPr>
            <w:pStyle w:val="12"/>
            <w:ind w:left="720"/>
            <w:tabs>
              <w:tab w:val="right" w:leader="dot" w:pos="9026"/>
            </w:tabs>
            <w:spacing w:before="120" w:after="60"/>
          </w:pPr>
          <w:hyperlink w:anchor="_Toc100120" w:history="1">
            <w:r>
              <w:rPr>
                <w:rStyle w:val="Hyperlink"/>
              </w:rPr>
              <w:t>30.3 B3: Irrigation Data Gap — RESOLVED</w:t>
            </w:r>
            <w:r>
              <w:tab/>
            </w:r>
            <w:r>
              <w:fldChar w:fldCharType="begin"/>
            </w:r>
            <w:r>
              <w:instrText xml:space="preserve"> PAGEREF _Toc100120 \h </w:instrText>
            </w:r>
            <w:r>
              <w:fldChar w:fldCharType="separate"/>
            </w:r>
            <w:r>
              <w:t>29</w:t>
            </w:r>
            <w:r>
              <w:fldChar w:fldCharType="end"/>
            </w:r>
          </w:hyperlink>
        </w:p>
        <w:p>
          <w:pPr>
            <w:pStyle w:val="12"/>
            <w:ind w:left="720"/>
            <w:tabs>
              <w:tab w:val="right" w:leader="dot" w:pos="9026"/>
            </w:tabs>
            <w:spacing w:before="120" w:after="60"/>
          </w:pPr>
          <w:hyperlink w:anchor="_Toc100121" w:history="1">
            <w:r>
              <w:rPr>
                <w:rStyle w:val="Hyperlink"/>
              </w:rPr>
              <w:t>30.4 B4: Food-Security Overreach — RESOLVED</w:t>
            </w:r>
            <w:r>
              <w:tab/>
            </w:r>
            <w:r>
              <w:fldChar w:fldCharType="begin"/>
            </w:r>
            <w:r>
              <w:instrText xml:space="preserve"> PAGEREF _Toc100121 \h </w:instrText>
            </w:r>
            <w:r>
              <w:fldChar w:fldCharType="separate"/>
            </w:r>
            <w:r>
              <w:t>29</w:t>
            </w:r>
            <w:r>
              <w:fldChar w:fldCharType="end"/>
            </w:r>
          </w:hyperlink>
        </w:p>
        <w:p>
          <w:pPr>
            <w:pStyle w:val="11"/>
            <w:ind w:left="360"/>
            <w:tabs>
              <w:tab w:val="right" w:leader="dot" w:pos="9026"/>
            </w:tabs>
            <w:spacing w:before="120" w:after="60"/>
          </w:pPr>
          <w:hyperlink w:anchor="_Toc100122" w:history="1">
            <w:r>
              <w:rPr>
                <w:rStyle w:val="Hyperlink"/>
              </w:rPr>
              <w:t>31. High-Priority Resolutions (All Resolved)</w:t>
            </w:r>
            <w:r>
              <w:tab/>
            </w:r>
            <w:r>
              <w:fldChar w:fldCharType="begin"/>
            </w:r>
            <w:r>
              <w:instrText xml:space="preserve"> PAGEREF _Toc100122 \h </w:instrText>
            </w:r>
            <w:r>
              <w:fldChar w:fldCharType="separate"/>
            </w:r>
            <w:r>
              <w:t>29</w:t>
            </w:r>
            <w:r>
              <w:fldChar w:fldCharType="end"/>
            </w:r>
          </w:hyperlink>
        </w:p>
        <w:p>
          <w:pPr>
            <w:pStyle w:val="11"/>
            <w:ind w:left="360"/>
            <w:tabs>
              <w:tab w:val="right" w:leader="dot" w:pos="9026"/>
            </w:tabs>
            <w:spacing w:before="120" w:after="60"/>
          </w:pPr>
          <w:hyperlink w:anchor="_Toc100123" w:history="1">
            <w:r>
              <w:rPr>
                <w:rStyle w:val="Hyperlink"/>
              </w:rPr>
              <w:t>32. Medium-Priority Resolutions (All Resolved)</w:t>
            </w:r>
            <w:r>
              <w:tab/>
            </w:r>
            <w:r>
              <w:fldChar w:fldCharType="begin"/>
            </w:r>
            <w:r>
              <w:instrText xml:space="preserve"> PAGEREF _Toc100123 \h </w:instrText>
            </w:r>
            <w:r>
              <w:fldChar w:fldCharType="separate"/>
            </w:r>
            <w:r>
              <w:t>29</w:t>
            </w:r>
            <w:r>
              <w:fldChar w:fldCharType="end"/>
            </w:r>
          </w:hyperlink>
        </w:p>
        <w:p>
          <w:pPr>
            <w:pStyle w:val="11"/>
            <w:ind w:left="360"/>
            <w:tabs>
              <w:tab w:val="right" w:leader="dot" w:pos="9026"/>
            </w:tabs>
            <w:spacing w:before="120" w:after="60"/>
          </w:pPr>
          <w:hyperlink w:anchor="_Toc100124" w:history="1">
            <w:r>
              <w:rPr>
                <w:rStyle w:val="Hyperlink"/>
              </w:rPr>
              <w:t>33. Terminology Corrections</w:t>
            </w:r>
            <w:r>
              <w:tab/>
            </w:r>
            <w:r>
              <w:fldChar w:fldCharType="begin"/>
            </w:r>
            <w:r>
              <w:instrText xml:space="preserve"> PAGEREF _Toc100124 \h </w:instrText>
            </w:r>
            <w:r>
              <w:fldChar w:fldCharType="separate"/>
            </w:r>
            <w:r>
              <w:t>30</w:t>
            </w:r>
            <w:r>
              <w:fldChar w:fldCharType="end"/>
            </w:r>
          </w:hyperlink>
        </w:p>
        <w:p>
          <w:pPr>
            <w:pStyle w:val="11"/>
            <w:ind w:left="360"/>
            <w:tabs>
              <w:tab w:val="right" w:leader="dot" w:pos="9026"/>
            </w:tabs>
            <w:spacing w:before="120" w:after="60"/>
          </w:pPr>
          <w:hyperlink w:anchor="_Toc100125" w:history="1">
            <w:r>
              <w:rPr>
                <w:rStyle w:val="Hyperlink"/>
              </w:rPr>
              <w:t>34. Reference Corrections</w:t>
            </w:r>
            <w:r>
              <w:tab/>
            </w:r>
            <w:r>
              <w:fldChar w:fldCharType="begin"/>
            </w:r>
            <w:r>
              <w:instrText xml:space="preserve"> PAGEREF _Toc100125 \h </w:instrText>
            </w:r>
            <w:r>
              <w:fldChar w:fldCharType="separate"/>
            </w:r>
            <w:r>
              <w:t>30</w:t>
            </w:r>
            <w:r>
              <w:fldChar w:fldCharType="end"/>
            </w:r>
          </w:hyperlink>
        </w:p>
        <w:p>
          <w:pPr>
            <w:pStyle w:val="9"/>
            <w:tabs>
              <w:tab w:val="right" w:leader="dot" w:pos="9026"/>
            </w:tabs>
            <w:spacing w:before="120" w:after="60"/>
          </w:pPr>
          <w:hyperlink w:anchor="_Toc100126" w:history="1">
            <w:r>
              <w:rPr>
                <w:rStyle w:val="Hyperlink"/>
              </w:rPr>
              <w:t>Appendices</w:t>
            </w:r>
            <w:r>
              <w:tab/>
            </w:r>
            <w:r>
              <w:fldChar w:fldCharType="begin"/>
            </w:r>
            <w:r>
              <w:instrText xml:space="preserve"> PAGEREF _Toc100126 \h </w:instrText>
            </w:r>
            <w:r>
              <w:fldChar w:fldCharType="separate"/>
            </w:r>
            <w:r>
              <w:t>30</w:t>
            </w:r>
            <w:r>
              <w:fldChar w:fldCharType="end"/>
            </w:r>
          </w:hyperlink>
        </w:p>
        <w:p>
          <w:pPr>
            <w:pStyle w:val="11"/>
            <w:ind w:left="360"/>
            <w:tabs>
              <w:tab w:val="right" w:leader="dot" w:pos="9026"/>
            </w:tabs>
            <w:spacing w:before="120" w:after="60"/>
          </w:pPr>
          <w:hyperlink w:anchor="_Toc100127" w:history="1">
            <w:r>
              <w:rPr>
                <w:rStyle w:val="Hyperlink"/>
              </w:rPr>
              <w:t>Appendix A: Complete Terminology Mapping</w:t>
            </w:r>
            <w:r>
              <w:tab/>
            </w:r>
            <w:r>
              <w:fldChar w:fldCharType="begin"/>
            </w:r>
            <w:r>
              <w:instrText xml:space="preserve"> PAGEREF _Toc100127 \h </w:instrText>
            </w:r>
            <w:r>
              <w:fldChar w:fldCharType="separate"/>
            </w:r>
            <w:r>
              <w:t>30</w:t>
            </w:r>
            <w:r>
              <w:fldChar w:fldCharType="end"/>
            </w:r>
          </w:hyperlink>
        </w:p>
        <w:p>
          <w:pPr>
            <w:pStyle w:val="11"/>
            <w:ind w:left="360"/>
            <w:tabs>
              <w:tab w:val="right" w:leader="dot" w:pos="9026"/>
            </w:tabs>
            <w:spacing w:before="120" w:after="60"/>
          </w:pPr>
          <w:hyperlink w:anchor="_Toc100128" w:history="1">
            <w:r>
              <w:rPr>
                <w:rStyle w:val="Hyperlink"/>
              </w:rPr>
              <w:t>Appendix B: Complete Variable Catalog</w:t>
            </w:r>
            <w:r>
              <w:tab/>
            </w:r>
            <w:r>
              <w:fldChar w:fldCharType="begin"/>
            </w:r>
            <w:r>
              <w:instrText xml:space="preserve"> PAGEREF _Toc100128 \h </w:instrText>
            </w:r>
            <w:r>
              <w:fldChar w:fldCharType="separate"/>
            </w:r>
            <w:r>
              <w:t>30</w:t>
            </w:r>
            <w:r>
              <w:fldChar w:fldCharType="end"/>
            </w:r>
          </w:hyperlink>
        </w:p>
        <w:p>
          <w:pPr>
            <w:pStyle w:val="12"/>
            <w:ind w:left="720"/>
            <w:tabs>
              <w:tab w:val="right" w:leader="dot" w:pos="9026"/>
            </w:tabs>
            <w:spacing w:before="120" w:after="60"/>
          </w:pPr>
          <w:hyperlink w:anchor="_Toc100129" w:history="1">
            <w:r>
              <w:rPr>
                <w:rStyle w:val="Hyperlink"/>
              </w:rPr>
              <w:t>B.1 Satellite Variables</w:t>
            </w:r>
            <w:r>
              <w:tab/>
            </w:r>
            <w:r>
              <w:fldChar w:fldCharType="begin"/>
            </w:r>
            <w:r>
              <w:instrText xml:space="preserve"> PAGEREF _Toc100129 \h </w:instrText>
            </w:r>
            <w:r>
              <w:fldChar w:fldCharType="separate"/>
            </w:r>
            <w:r>
              <w:t>30</w:t>
            </w:r>
            <w:r>
              <w:fldChar w:fldCharType="end"/>
            </w:r>
          </w:hyperlink>
        </w:p>
        <w:p>
          <w:pPr>
            <w:pStyle w:val="12"/>
            <w:ind w:left="720"/>
            <w:tabs>
              <w:tab w:val="right" w:leader="dot" w:pos="9026"/>
            </w:tabs>
            <w:spacing w:before="120" w:after="60"/>
          </w:pPr>
          <w:hyperlink w:anchor="_Toc100130" w:history="1">
            <w:r>
              <w:rPr>
                <w:rStyle w:val="Hyperlink"/>
              </w:rPr>
              <w:t>B.2 Climate Variables</w:t>
            </w:r>
            <w:r>
              <w:tab/>
            </w:r>
            <w:r>
              <w:fldChar w:fldCharType="begin"/>
            </w:r>
            <w:r>
              <w:instrText xml:space="preserve"> PAGEREF _Toc100130 \h </w:instrText>
            </w:r>
            <w:r>
              <w:fldChar w:fldCharType="separate"/>
            </w:r>
            <w:r>
              <w:t>30</w:t>
            </w:r>
            <w:r>
              <w:fldChar w:fldCharType="end"/>
            </w:r>
          </w:hyperlink>
        </w:p>
        <w:p>
          <w:pPr>
            <w:pStyle w:val="12"/>
            <w:ind w:left="720"/>
            <w:tabs>
              <w:tab w:val="right" w:leader="dot" w:pos="9026"/>
            </w:tabs>
            <w:spacing w:before="120" w:after="60"/>
          </w:pPr>
          <w:hyperlink w:anchor="_Toc100131" w:history="1">
            <w:r>
              <w:rPr>
                <w:rStyle w:val="Hyperlink"/>
              </w:rPr>
              <w:t>B.3 Soil Variables</w:t>
            </w:r>
            <w:r>
              <w:tab/>
            </w:r>
            <w:r>
              <w:fldChar w:fldCharType="begin"/>
            </w:r>
            <w:r>
              <w:instrText xml:space="preserve"> PAGEREF _Toc100131 \h </w:instrText>
            </w:r>
            <w:r>
              <w:fldChar w:fldCharType="separate"/>
            </w:r>
            <w:r>
              <w:t>30</w:t>
            </w:r>
            <w:r>
              <w:fldChar w:fldCharType="end"/>
            </w:r>
          </w:hyperlink>
        </w:p>
        <w:p>
          <w:pPr>
            <w:pStyle w:val="11"/>
            <w:ind w:left="360"/>
            <w:tabs>
              <w:tab w:val="right" w:leader="dot" w:pos="9026"/>
            </w:tabs>
            <w:spacing w:before="120" w:after="60"/>
          </w:pPr>
          <w:hyperlink w:anchor="_Toc100132" w:history="1">
            <w:r>
              <w:rPr>
                <w:rStyle w:val="Hyperlink"/>
              </w:rPr>
              <w:t>Appendix C: Data License Summary</w:t>
            </w:r>
            <w:r>
              <w:tab/>
            </w:r>
            <w:r>
              <w:fldChar w:fldCharType="begin"/>
            </w:r>
            <w:r>
              <w:instrText xml:space="preserve"> PAGEREF _Toc100132 \h </w:instrText>
            </w:r>
            <w:r>
              <w:fldChar w:fldCharType="separate"/>
            </w:r>
            <w:r>
              <w:t>31</w:t>
            </w:r>
            <w:r>
              <w:fldChar w:fldCharType="end"/>
            </w:r>
          </w:hyperlink>
        </w:p>
        <w:p>
          <w:pPr>
            <w:pStyle w:val="11"/>
            <w:ind w:left="360"/>
            <w:tabs>
              <w:tab w:val="right" w:leader="dot" w:pos="9026"/>
            </w:tabs>
            <w:spacing w:before="120" w:after="60"/>
          </w:pPr>
          <w:hyperlink w:anchor="_Toc100133" w:history="1">
            <w:r>
              <w:rPr>
                <w:rStyle w:val="Hyperlink"/>
              </w:rPr>
              <w:t>Appendix D: Domain Knowledge Checklist (Weeks 9-12)</w:t>
            </w:r>
            <w:r>
              <w:tab/>
            </w:r>
            <w:r>
              <w:fldChar w:fldCharType="begin"/>
            </w:r>
            <w:r>
              <w:instrText xml:space="preserve"> PAGEREF _Toc100133 \h </w:instrText>
            </w:r>
            <w:r>
              <w:fldChar w:fldCharType="separate"/>
            </w:r>
            <w:r>
              <w:t>31</w:t>
            </w:r>
            <w:r>
              <w:fldChar w:fldCharType="end"/>
            </w:r>
          </w:hyperlink>
        </w:p>
        <w:p>
          <w:pPr>
            <w:pStyle w:val="12"/>
            <w:ind w:left="720"/>
            <w:tabs>
              <w:tab w:val="right" w:leader="dot" w:pos="9026"/>
            </w:tabs>
            <w:spacing w:before="120" w:after="60"/>
          </w:pPr>
          <w:hyperlink w:anchor="_Toc100134" w:history="1">
            <w:r>
              <w:rPr>
                <w:rStyle w:val="Hyperlink"/>
              </w:rPr>
              <w:t>D.1 Agronomy Fundamentals</w:t>
            </w:r>
            <w:r>
              <w:tab/>
            </w:r>
            <w:r>
              <w:fldChar w:fldCharType="begin"/>
            </w:r>
            <w:r>
              <w:instrText xml:space="preserve"> PAGEREF _Toc100134 \h </w:instrText>
            </w:r>
            <w:r>
              <w:fldChar w:fldCharType="separate"/>
            </w:r>
            <w:r>
              <w:t>31</w:t>
            </w:r>
            <w:r>
              <w:fldChar w:fldCharType="end"/>
            </w:r>
          </w:hyperlink>
        </w:p>
        <w:p>
          <w:pPr>
            <w:pStyle w:val="12"/>
            <w:ind w:left="720"/>
            <w:tabs>
              <w:tab w:val="right" w:leader="dot" w:pos="9026"/>
            </w:tabs>
            <w:spacing w:before="120" w:after="60"/>
          </w:pPr>
          <w:hyperlink w:anchor="_Toc100135" w:history="1">
            <w:r>
              <w:rPr>
                <w:rStyle w:val="Hyperlink"/>
              </w:rPr>
              <w:t>D.2 Drought Science</w:t>
            </w:r>
            <w:r>
              <w:tab/>
            </w:r>
            <w:r>
              <w:fldChar w:fldCharType="begin"/>
            </w:r>
            <w:r>
              <w:instrText xml:space="preserve"> PAGEREF _Toc100135 \h </w:instrText>
            </w:r>
            <w:r>
              <w:fldChar w:fldCharType="separate"/>
            </w:r>
            <w:r>
              <w:t>31</w:t>
            </w:r>
            <w:r>
              <w:fldChar w:fldCharType="end"/>
            </w:r>
          </w:hyperlink>
        </w:p>
        <w:p>
          <w:pPr>
            <w:pStyle w:val="12"/>
            <w:ind w:left="720"/>
            <w:tabs>
              <w:tab w:val="right" w:leader="dot" w:pos="9026"/>
            </w:tabs>
            <w:spacing w:before="120" w:after="60"/>
          </w:pPr>
          <w:hyperlink w:anchor="_Toc100136" w:history="1">
            <w:r>
              <w:rPr>
                <w:rStyle w:val="Hyperlink"/>
              </w:rPr>
              <w:t>D.3 Remote Sensing for Agriculture</w:t>
            </w:r>
            <w:r>
              <w:tab/>
            </w:r>
            <w:r>
              <w:fldChar w:fldCharType="begin"/>
            </w:r>
            <w:r>
              <w:instrText xml:space="preserve"> PAGEREF _Toc100136 \h </w:instrText>
            </w:r>
            <w:r>
              <w:fldChar w:fldCharType="separate"/>
            </w:r>
            <w:r>
              <w:t>31</w:t>
            </w:r>
            <w:r>
              <w:fldChar w:fldCharType="end"/>
            </w:r>
          </w:hyperlink>
        </w:p>
        <w:p>
          <w:pPr>
            <w:pStyle w:val="12"/>
            <w:ind w:left="720"/>
            <w:tabs>
              <w:tab w:val="right" w:leader="dot" w:pos="9026"/>
            </w:tabs>
            <w:spacing w:before="120" w:after="60"/>
          </w:pPr>
          <w:hyperlink w:anchor="_Toc100137" w:history="1">
            <w:r>
              <w:rPr>
                <w:rStyle w:val="Hyperlink"/>
              </w:rPr>
              <w:t>D.4 Foundation Models and SSL</w:t>
            </w:r>
            <w:r>
              <w:tab/>
            </w:r>
            <w:r>
              <w:fldChar w:fldCharType="begin"/>
            </w:r>
            <w:r>
              <w:instrText xml:space="preserve"> PAGEREF _Toc100137 \h </w:instrText>
            </w:r>
            <w:r>
              <w:fldChar w:fldCharType="separate"/>
            </w:r>
            <w:r>
              <w:t>31</w:t>
            </w:r>
            <w:r>
              <w:fldChar w:fldCharType="end"/>
            </w:r>
          </w:hyperlink>
        </w:p>
        <w:p>
          <w:pPr>
            <w:pStyle w:val="11"/>
            <w:ind w:left="360"/>
            <w:tabs>
              <w:tab w:val="right" w:leader="dot" w:pos="9026"/>
            </w:tabs>
            <w:spacing w:before="120" w:after="60"/>
          </w:pPr>
          <w:hyperlink w:anchor="_Toc100138" w:history="1">
            <w:r>
              <w:rPr>
                <w:rStyle w:val="Hyperlink"/>
              </w:rPr>
              <w:t>Appendix E: Key Equations Summary</w:t>
            </w:r>
            <w:r>
              <w:tab/>
            </w:r>
            <w:r>
              <w:fldChar w:fldCharType="begin"/>
            </w:r>
            <w:r>
              <w:instrText xml:space="preserve"> PAGEREF _Toc100138 \h </w:instrText>
            </w:r>
            <w:r>
              <w:fldChar w:fldCharType="separate"/>
            </w:r>
            <w:r>
              <w:t>31</w:t>
            </w:r>
            <w:r>
              <w:fldChar w:fldCharType="end"/>
            </w:r>
          </w:hyperlink>
        </w:p>
        <w:p>
          <w:pPr>
            <w:pStyle w:val="11"/>
            <w:ind w:left="360"/>
            <w:tabs>
              <w:tab w:val="right" w:leader="dot" w:pos="9026"/>
            </w:tabs>
            <w:spacing w:before="120" w:after="60"/>
          </w:pPr>
          <w:hyperlink w:anchor="_Toc100139" w:history="1">
            <w:r>
              <w:rPr>
                <w:rStyle w:val="Hyperlink"/>
              </w:rPr>
              <w:t>Appendix F: Final Acceptable Claim (If Results Support)</w:t>
            </w:r>
            <w:r>
              <w:tab/>
            </w:r>
            <w:r>
              <w:fldChar w:fldCharType="begin"/>
            </w:r>
            <w:r>
              <w:instrText xml:space="preserve"> PAGEREF _Toc100139 \h </w:instrText>
            </w:r>
            <w:r>
              <w:fldChar w:fldCharType="separate"/>
            </w:r>
            <w:r>
              <w:t>33</w:t>
            </w:r>
            <w:r>
              <w:fldChar w:fldCharType="end"/>
            </w:r>
          </w:hyperlink>
        </w:p>
        <w:p>
          <w:r>
            <w:fldChar w:fldCharType="end"/>
          </w:r>
        </w:p>
      </w:sdtContent>
    </w:sdt>
    <w:p>
      <w:pPr>
        <w:spacing w:before="100"/>
      </w:pPr>
      <w:r>
        <w:rPr>
          <w:i/>
          <w:iCs/>
          <w:color w:val="888888"/>
          <w:sz w:val="18"/>
          <w:szCs w:val="18"/>
        </w:rPr>
        <w:t xml:space="preserve">Note: Right-click the Table of Contents and select </w:t>
      </w:r>
      <w:r>
        <w:rPr>
          <w:b/>
          <w:bCs/>
          <w:i/>
          <w:iCs/>
          <w:color w:val="888888"/>
          <w:sz w:val="18"/>
          <w:szCs w:val="18"/>
        </w:rPr>
        <w:t xml:space="preserve">Update Field</w:t>
      </w:r>
      <w:r>
        <w:rPr>
          <w:i/>
          <w:iCs/>
          <w:color w:val="888888"/>
          <w:sz w:val="18"/>
          <w:szCs w:val="18"/>
        </w:rPr>
        <w:t xml:space="preserve"> to refresh page numbers after opening.</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eastAsia="SimHei"/>
          <w:b/>
          <w:bCs/>
          <w:color w:val="162032"/>
          <w:sz w:val="32"/>
          <w:szCs w:val="32"/>
        </w:rPr>
        <w:t xml:space="preserve">Part I: Research Foundation</w:t>
      </w:r>
      <w:bookmarkEnd w:id="100000"/>
    </w:p>
    <w:p>
      <w:pPr>
        <w:pStyle w:val="Heading2"/>
        <w:spacing w:after="160" w:before="360"/>
      </w:pPr>
      <w:bookmarkStart w:id="100001" w:name="_Toc100001"/>
      <w:r>
        <w:rPr>
          <w:rFonts w:ascii="Times New Roman" w:eastAsia="SimHei"/>
          <w:b/>
          <w:bCs/>
          <w:color w:val="162032"/>
          <w:sz w:val="28"/>
          <w:szCs w:val="28"/>
        </w:rPr>
        <w:t xml:space="preserve">1. Research Vision and Background</w:t>
      </w:r>
      <w:bookmarkEnd w:id="100001"/>
    </w:p>
    <w:p>
      <w:pPr>
        <w:pStyle w:val="Heading3"/>
        <w:spacing w:after="120" w:before="280"/>
      </w:pPr>
      <w:bookmarkStart w:id="100002" w:name="_Toc100002"/>
      <w:r>
        <w:rPr>
          <w:rFonts w:ascii="Times New Roman" w:eastAsia="SimHei"/>
          <w:b/>
          <w:bCs/>
          <w:color w:val="162032"/>
          <w:sz w:val="24"/>
          <w:szCs w:val="24"/>
        </w:rPr>
        <w:t xml:space="preserve">1.1 The Scientific Gap</w:t>
      </w:r>
      <w:bookmarkEnd w:id="100002"/>
    </w:p>
    <w:p>
      <w:pPr>
        <w:spacing w:after="120" w:line="312"/>
        <w:jc w:val="both"/>
      </w:pPr>
      <w:r>
        <w:rPr>
          <w:rFonts w:ascii="Times New Roman" w:eastAsia="SimSun"/>
          <w:color w:val="000000"/>
          <w:sz w:val="24"/>
          <w:szCs w:val="24"/>
        </w:rPr>
        <w:t xml:space="preserve">Current geospatial foundation models (GeoFMs) such as SatMAE, DOFA, PhilEO, and TerraFM learn powerful visual representations from Earth observation data, but they are fundamentally limited in the agro-ecosystem domain for three critical reasons. First, they learn appearance-based representations optimized for image reconstruction or contrastive objectives, not process-centered representations that understand how drought stress propagates through soil moisture decline, vegetation stress, phenology disruption, and ultimately crop yield reduction. Second, they treat each pixel or patch independently, ignoring the temporal causal chain that connects climate forcing to agricultural outcomes. Third, they lack physics-awareness — they can detect that a field looks stressed but cannot enforce or verify that their representations are consistent with basic water-balance or plant-growth constraints.</w:t>
      </w:r>
    </w:p>
    <w:p>
      <w:pPr>
        <w:spacing w:after="120" w:line="312"/>
        <w:jc w:val="both"/>
      </w:pPr>
      <w:r>
        <w:rPr>
          <w:rFonts w:ascii="Times New Roman" w:eastAsia="SimSun"/>
          <w:color w:val="000000"/>
          <w:sz w:val="24"/>
          <w:szCs w:val="24"/>
        </w:rPr>
        <w:t xml:space="preserve">The central innovation of AgroEarthFM is to move beyond appearance-based geospatial representation learning toward process-centered representation learning that jointly models drought dynamics and crop phenology within physical and causal constraints. This means the model does not merely learn to reconstruct satellite imagery — it learns to predict how drought stress evolves over time, how phenology transitions respond to environmental forcing, and how these processes interact under the governing constraints of water balance and plant physiology.</w:t>
      </w:r>
    </w:p>
    <w:p>
      <w:pPr>
        <w:pStyle w:val="Heading3"/>
        <w:spacing w:after="120" w:before="280"/>
      </w:pPr>
      <w:bookmarkStart w:id="100003" w:name="_Toc100003"/>
      <w:r>
        <w:rPr>
          <w:rFonts w:ascii="Times New Roman" w:eastAsia="SimHei"/>
          <w:b/>
          <w:bCs/>
          <w:color w:val="162032"/>
          <w:sz w:val="24"/>
          <w:szCs w:val="24"/>
        </w:rPr>
        <w:t xml:space="preserve">1.2 Research Direction</w:t>
      </w:r>
      <w:bookmarkEnd w:id="100003"/>
    </w:p>
    <w:p>
      <w:pPr>
        <w:spacing w:after="120" w:line="312"/>
        <w:jc w:val="both"/>
      </w:pPr>
      <w:r>
        <w:rPr>
          <w:rFonts w:ascii="Times New Roman" w:eastAsia="SimSun"/>
          <w:color w:val="000000"/>
          <w:sz w:val="24"/>
          <w:szCs w:val="24"/>
        </w:rPr>
        <w:t xml:space="preserve">AgroEarthFM merges two research directions that have traditionally been treated separately. Direction A involves drought modeling, where remote sensing and climate data are used to detect, monitor, and forecast drought conditions, typically through indices such as SPI, SPEI, VHI, and soil moisture anomalies. These approaches focus on the climate-hydrology-vegetation chain but rarely model crop-specific phenology or yield implications. Direction B involves crop phenology modeling, where time-series of vegetation indices are used to detect phenological transitions (green-up, heading, maturity, senescence) and predict crop development. These approaches focus on crop-specific temporal patterns but rarely incorporate drought dynamics as a process driver. AgroEarthFM unifies these directions by learning a shared multimodal temporal representation that captures both drought stress evolution and crop phenology dynamics as interacting processes, constrained by physical laws and structured by causal relationships.</w:t>
      </w:r>
    </w:p>
    <w:p>
      <w:pPr>
        <w:pStyle w:val="Heading3"/>
        <w:spacing w:after="120" w:before="280"/>
      </w:pPr>
      <w:bookmarkStart w:id="100004" w:name="_Toc100004"/>
      <w:r>
        <w:rPr>
          <w:rFonts w:ascii="Times New Roman" w:eastAsia="SimHei"/>
          <w:b/>
          <w:bCs/>
          <w:color w:val="162032"/>
          <w:sz w:val="24"/>
          <w:szCs w:val="24"/>
        </w:rPr>
        <w:t xml:space="preserve">1.3 Long-Term Vision (Phase 2 and Beyond)</w:t>
      </w:r>
      <w:bookmarkEnd w:id="100004"/>
    </w:p>
    <w:p>
      <w:pPr>
        <w:spacing w:after="120" w:line="312"/>
        <w:jc w:val="both"/>
      </w:pPr>
      <w:r>
        <w:rPr>
          <w:rFonts w:ascii="Times New Roman" w:eastAsia="SimSun"/>
          <w:color w:val="000000"/>
          <w:sz w:val="24"/>
          <w:szCs w:val="24"/>
        </w:rPr>
        <w:t xml:space="preserve">The long-term vision (24-month horizon) extends AgroEarthFM to include: full neural causal discovery with validated counterfactual reasoning, food-security risk assessment requiring socioeconomic vulnerability and exposure data, global multi-biome generalization across diverse agro-climatic zones, integration with process-based crop simulation models (DSSAT/APSIM/AquaCrop) for hybrid physics-data modeling, and operational decision-support deployment for agricultural resilience planning. These are explicitly deferred from the first-year MVRC and will be pursued only after the core scientific contribution is validated.</w:t>
      </w:r>
    </w:p>
    <w:p>
      <w:pPr>
        <w:pStyle w:val="Heading2"/>
        <w:spacing w:after="160" w:before="360"/>
      </w:pPr>
      <w:bookmarkStart w:id="100005" w:name="_Toc100005"/>
      <w:r>
        <w:rPr>
          <w:rFonts w:ascii="Times New Roman" w:eastAsia="SimHei"/>
          <w:b/>
          <w:bCs/>
          <w:color w:val="162032"/>
          <w:sz w:val="28"/>
          <w:szCs w:val="28"/>
        </w:rPr>
        <w:t xml:space="preserve">2. Revised Core Hypothesis</w:t>
      </w:r>
      <w:bookmarkEnd w:id="100005"/>
    </w:p>
    <w:p>
      <w:pPr>
        <w:pStyle w:val="Heading3"/>
        <w:spacing w:after="120" w:before="280"/>
      </w:pPr>
      <w:bookmarkStart w:id="100006" w:name="_Toc100006"/>
      <w:r>
        <w:rPr>
          <w:rFonts w:ascii="Times New Roman" w:eastAsia="SimHei"/>
          <w:b/>
          <w:bCs/>
          <w:color w:val="162032"/>
          <w:sz w:val="24"/>
          <w:szCs w:val="24"/>
        </w:rPr>
        <w:t xml:space="preserve">2.1 Final Revised Hypothesis</w:t>
      </w:r>
      <w:bookmarkEnd w:id="100006"/>
    </w:p>
    <w:p>
      <w:pPr>
        <w:spacing w:after="120" w:line="312"/>
        <w:jc w:val="both"/>
      </w:pPr>
      <w:r>
        <w:rPr>
          <w:rFonts w:ascii="Times New Roman" w:eastAsia="SimSun"/>
          <w:color w:val="000000"/>
          <w:sz w:val="24"/>
          <w:szCs w:val="24"/>
        </w:rPr>
        <w:t xml:space="preserve">A multimodal temporal representation trained on joint drought and crop-phenology process objectives, and regularized by weak water-balance constraints, will improve crop-stress detection, phenology forecasting, and yield-risk prediction under out-of-region, out-of-year, and extreme-event validation compared with single-domain, non-physics, and conventional machine-learning baselines.</w:t>
      </w:r>
    </w:p>
    <w:p>
      <w:pPr>
        <w:pStyle w:val="Heading3"/>
        <w:spacing w:after="120" w:before="280"/>
      </w:pPr>
      <w:bookmarkStart w:id="100007" w:name="_Toc100007"/>
      <w:r>
        <w:rPr>
          <w:rFonts w:ascii="Times New Roman" w:eastAsia="SimHei"/>
          <w:b/>
          <w:bCs/>
          <w:color w:val="162032"/>
          <w:sz w:val="24"/>
          <w:szCs w:val="24"/>
        </w:rPr>
        <w:t xml:space="preserve">2.2 Hypothesis Rationale</w:t>
      </w:r>
      <w:bookmarkEnd w:id="100007"/>
    </w:p>
    <w:p>
      <w:pPr>
        <w:spacing w:after="120" w:line="312"/>
        <w:jc w:val="both"/>
      </w:pPr>
      <w:r>
        <w:rPr>
          <w:rFonts w:ascii="Times New Roman" w:eastAsia="SimSun"/>
          <w:color w:val="000000"/>
          <w:sz w:val="24"/>
          <w:szCs w:val="24"/>
        </w:rPr>
        <w:t xml:space="preserve">This hypothesis is structured as a conditional causal claim: IF the model is trained with joint process objectives AND regularized by weak physics constraints, THEN it will outperform baselines on specific evaluation settings. The "weak" qualifier on physics constraints is essential — the water-balance constraint is incomplete (missing irrigation, groundwater, management), and the plant-growth constraint is approximate (Mitscherlich-Baule is a simplified growth response). The hypothesis claims that even incomplete physics, applied as soft regularization with uncertainty weighting, provides measurable benefit over unconstrained models.</w:t>
      </w:r>
    </w:p>
    <w:p>
      <w:pPr>
        <w:pStyle w:val="Heading3"/>
        <w:spacing w:after="120" w:before="280"/>
      </w:pPr>
      <w:bookmarkStart w:id="100008" w:name="_Toc100008"/>
      <w:r>
        <w:rPr>
          <w:rFonts w:ascii="Times New Roman" w:eastAsia="SimHei"/>
          <w:b/>
          <w:bCs/>
          <w:color w:val="162032"/>
          <w:sz w:val="24"/>
          <w:szCs w:val="24"/>
        </w:rPr>
        <w:t xml:space="preserve">2.3 Hypothesis Scope Boundary</w:t>
      </w:r>
      <w:bookmarkEnd w:id="100008"/>
    </w:p>
    <w:p>
      <w:pPr>
        <w:spacing w:after="120" w:line="312"/>
        <w:jc w:val="both"/>
      </w:pPr>
      <w:r>
        <w:rPr>
          <w:rFonts w:ascii="Times New Roman" w:eastAsia="SimSun"/>
          <w:color w:val="000000"/>
          <w:sz w:val="24"/>
          <w:szCs w:val="24"/>
        </w:rPr>
        <w:t xml:space="preserve">The hypothesis does NOT claim: full causal discovery from observational data alone; food-security risk prediction (requires socioeconomic data not included); global generalization across all climate zones; decision-grade counterfactual estimates; or field-level yield accuracy from administrative-level yield labels. These are explicitly excluded from the first-year MVRC scope.</w:t>
      </w:r>
    </w:p>
    <w:p>
      <w:pPr>
        <w:pStyle w:val="Heading2"/>
        <w:spacing w:after="160" w:before="360"/>
      </w:pPr>
      <w:bookmarkStart w:id="100009" w:name="_Toc100009"/>
      <w:r>
        <w:rPr>
          <w:rFonts w:ascii="Times New Roman" w:eastAsia="SimHei"/>
          <w:b/>
          <w:bCs/>
          <w:color w:val="162032"/>
          <w:sz w:val="28"/>
          <w:szCs w:val="28"/>
        </w:rPr>
        <w:t xml:space="preserve">3. Atomic Testable Claims</w:t>
      </w:r>
      <w:bookmarkEnd w:id="100009"/>
    </w:p>
    <w:p>
      <w:pPr>
        <w:pStyle w:val="Heading3"/>
        <w:spacing w:after="120" w:before="280"/>
      </w:pPr>
      <w:bookmarkStart w:id="100010" w:name="_Toc100010"/>
      <w:r>
        <w:rPr>
          <w:rFonts w:ascii="Times New Roman" w:eastAsia="SimHei"/>
          <w:b/>
          <w:bCs/>
          <w:color w:val="162032"/>
          <w:sz w:val="24"/>
          <w:szCs w:val="24"/>
        </w:rPr>
        <w:t xml:space="preserve">3.1 Claim Register</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Claim ID</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Claim</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Validation Requirement</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Success Signal</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Failure Action</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Joint drought + phenology modeling improves representation quality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Compare joint vs drought-only and phenology-only models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Statistically meaningful improvement (p &lt; 0.05)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model complexity; inspect task conflicts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C2</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Multimodal fusion improves performance and robustness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Compare satellite-only, weather-only, soil-only, and fused models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Fused model improves OOD/extreme by &gt;=5% relative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Check alignment, missing data, attention collapse</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C3</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Process-centered SSL improves transfer over generic SSL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Compare process SSL vs generic MAE/contrastive SSL</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Improved transfer, fine-tuning efficiency, or extreme-event recall</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Revert to generic SSL; report negative finding</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C4</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Weak physics regularization improves consistency without harming skill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Compare with and without water-balance/growth constraints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&gt;=15% reduction in water-balance RMSE, &lt;=3% task drop</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physics weight; report as diagnostic</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causally informed structure improves interpretability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Temporal-DAG sign checks, invariance tests, known-event sensitivity</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Correct signs, stable invariance, plausible scenarios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Treat as interpretability only, not performance claim</w:t>
            </w:r>
          </w:p>
        </w:tc>
      </w:tr>
      <w:tr>
        <w:trPr>
          <w:cantSplit/>
        </w:trPr>
        <w:tc>
          <w:tcPr>
            <w:tcW w:type="pct" w:w="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C6</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The model performs better on difficult conditions</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Out-of-region, out-of-year, drought-event holdouts</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&gt;=10% relative improvement in event-level F1</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Rebalance training, add event-focused objectives</w:t>
            </w:r>
          </w:p>
        </w:tc>
      </w:tr>
    </w:tbl>
    <w:p>
      <w:pPr>
        <w:pStyle w:val="Heading3"/>
        <w:spacing w:after="120" w:before="280"/>
      </w:pPr>
      <w:bookmarkStart w:id="100011" w:name="_Toc100011"/>
      <w:r>
        <w:rPr>
          <w:rFonts w:ascii="Times New Roman" w:eastAsia="SimHei"/>
          <w:b/>
          <w:bCs/>
          <w:color w:val="162032"/>
          <w:sz w:val="24"/>
          <w:szCs w:val="24"/>
        </w:rPr>
        <w:t xml:space="preserve">3.2 Claim Validation Priority</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Priority</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Claims</w:t>
            </w:r>
          </w:p>
        </w:tc>
        <w:tc>
          <w:tcPr>
            <w:tcW w:type="pct" w:w="5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Justification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Must-validate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C1, C2, C3</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Core novelty of the paper</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Strongly-validate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C4, C6</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Key differentiators</w:t>
            </w:r>
          </w:p>
        </w:tc>
      </w:tr>
      <w:tr>
        <w:trPr>
          <w:cantSplit/>
        </w:trPr>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Validate-if-possible</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C5</w:t>
            </w:r>
          </w:p>
        </w:tc>
        <w:tc>
          <w:tcPr>
            <w:tcW w:type="pct" w:w="5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High-risk, high-reward; acceptable as interpretability contribution</w:t>
            </w:r>
          </w:p>
        </w:tc>
      </w:tr>
    </w:tbl>
    <w:p>
      <w:pPr>
        <w:pStyle w:val="Heading2"/>
        <w:spacing w:after="160" w:before="360"/>
      </w:pPr>
      <w:bookmarkStart w:id="100012" w:name="_Toc100012"/>
      <w:r>
        <w:rPr>
          <w:rFonts w:ascii="Times New Roman" w:eastAsia="SimHei"/>
          <w:b/>
          <w:bCs/>
          <w:color w:val="162032"/>
          <w:sz w:val="28"/>
          <w:szCs w:val="28"/>
        </w:rPr>
        <w:t xml:space="preserve">4. Causal Chain and Temporal DAG</w:t>
      </w:r>
      <w:bookmarkEnd w:id="100012"/>
    </w:p>
    <w:p>
      <w:pPr>
        <w:pStyle w:val="Heading3"/>
        <w:spacing w:after="120" w:before="280"/>
      </w:pPr>
      <w:bookmarkStart w:id="100013" w:name="_Toc100013"/>
      <w:r>
        <w:rPr>
          <w:rFonts w:ascii="Times New Roman" w:eastAsia="SimHei"/>
          <w:b/>
          <w:bCs/>
          <w:color w:val="162032"/>
          <w:sz w:val="24"/>
          <w:szCs w:val="24"/>
        </w:rPr>
        <w:t xml:space="preserve">4.1 The Agro-Ecosystem Process Chain</w:t>
      </w:r>
      <w:bookmarkEnd w:id="100013"/>
    </w:p>
    <w:p>
      <w:pPr>
        <w:spacing w:after="120" w:line="312"/>
        <w:jc w:val="both"/>
      </w:pPr>
      <w:r>
        <w:rPr>
          <w:rFonts w:ascii="Times New Roman" w:eastAsia="SimSun"/>
          <w:color w:val="000000"/>
          <w:sz w:val="24"/>
          <w:szCs w:val="24"/>
        </w:rPr>
        <w:t xml:space="preserve">The fundamental process chain that AgroEarthFM models is: Climate Forcing → Temperature Anomalies → ET Imbalance → Soil Moisture Decline → Vegetation Stress → Phenology Disruption → Crop Stress Accumulation → Yield Reduction. This chain represents the physical pathway through which drought impacts propagate through the agro-ecosystem. Each link in this chain is grounded in established agricultural and hydrological science.</w:t>
      </w:r>
    </w:p>
    <w:p>
      <w:pPr>
        <w:pStyle w:val="Heading3"/>
        <w:spacing w:after="120" w:before="280"/>
      </w:pPr>
      <w:bookmarkStart w:id="100014" w:name="_Toc100014"/>
      <w:r>
        <w:rPr>
          <w:rFonts w:ascii="Times New Roman" w:eastAsia="SimHei"/>
          <w:b/>
          <w:bCs/>
          <w:color w:val="162032"/>
          <w:sz w:val="24"/>
          <w:szCs w:val="24"/>
        </w:rPr>
        <w:t xml:space="preserve">4.2 Original Causal Graph (DEFECTIVE — Contains DAG Cycle)</w:t>
      </w:r>
      <w:bookmarkEnd w:id="100014"/>
    </w:p>
    <w:p>
      <w:pPr>
        <w:spacing w:after="120" w:line="312"/>
        <w:jc w:val="both"/>
      </w:pPr>
      <w:r>
        <w:rPr>
          <w:rFonts w:ascii="Times New Roman" w:eastAsia="SimSun"/>
          <w:color w:val="000000"/>
          <w:sz w:val="24"/>
          <w:szCs w:val="24"/>
        </w:rPr>
        <w:t xml:space="preserve">The original implementation plan proposed a static causal graph with a bidirectional edge between Vegetation Health (VH) and Crop Stage (CS): VH ↔ CS (bidirectional, same time step). This violates the Directed Acyclic Graph (DAG) requirement because it creates a simultaneous cycle. Blocker Status: RESOLVED — replaced with temporal DAG.</w:t>
      </w:r>
    </w:p>
    <w:p>
      <w:pPr>
        <w:pStyle w:val="Heading3"/>
        <w:spacing w:after="120" w:before="280"/>
      </w:pPr>
      <w:bookmarkStart w:id="100015" w:name="_Toc100015"/>
      <w:r>
        <w:rPr>
          <w:rFonts w:ascii="Times New Roman" w:eastAsia="SimHei"/>
          <w:b/>
          <w:bCs/>
          <w:color w:val="162032"/>
          <w:sz w:val="24"/>
          <w:szCs w:val="24"/>
        </w:rPr>
        <w:t xml:space="preserve">4.3 Revised Temporal DAG (FINAL)</w:t>
      </w:r>
      <w:bookmarkEnd w:id="100015"/>
    </w:p>
    <w:p>
      <w:pPr>
        <w:spacing w:after="120" w:line="312"/>
        <w:jc w:val="both"/>
      </w:pPr>
      <w:r>
        <w:rPr>
          <w:rFonts w:ascii="Times New Roman" w:eastAsia="SimSun"/>
          <w:color w:val="000000"/>
          <w:sz w:val="24"/>
          <w:szCs w:val="24"/>
        </w:rPr>
        <w:t xml:space="preserve">The revised causal structure is time-indexed, eliminating same-time-step cycles:</w:t>
      </w:r>
    </w:p>
    <w:p>
      <w:pPr>
        <w:spacing w:after="80" w:line="276"/>
        <w:ind w:left="480"/>
        <w:jc w:val="left"/>
      </w:pPr>
      <w:r>
        <w:rPr>
          <w:rFonts w:ascii="Courier New" w:eastAsia="Courier New"/>
          <w:color w:val="333333"/>
          <w:sz w:val="20"/>
          <w:szCs w:val="20"/>
        </w:rPr>
        <w:t xml:space="preserve">Weather(t) → ET(t)</w:t>
      </w:r>
    </w:p>
    <w:p>
      <w:pPr>
        <w:spacing w:after="80" w:line="276"/>
        <w:ind w:left="480"/>
        <w:jc w:val="left"/>
      </w:pPr>
      <w:r>
        <w:rPr>
          <w:rFonts w:ascii="Courier New" w:eastAsia="Courier New"/>
          <w:color w:val="333333"/>
          <w:sz w:val="20"/>
          <w:szCs w:val="20"/>
        </w:rPr>
        <w:t xml:space="preserve">Rainfall(t), ET(t), Soil(t), I_latent(t) → Soil_Moisture(t)</w:t>
      </w:r>
    </w:p>
    <w:p>
      <w:pPr>
        <w:spacing w:after="80" w:line="276"/>
        <w:ind w:left="480"/>
        <w:jc w:val="left"/>
      </w:pPr>
      <w:r>
        <w:rPr>
          <w:rFonts w:ascii="Courier New" w:eastAsia="Courier New"/>
          <w:color w:val="333333"/>
          <w:sz w:val="20"/>
          <w:szCs w:val="20"/>
        </w:rPr>
        <w:t xml:space="preserve">Soil_Moisture(t), Temperature(t), Crop_Stage(t) → Vegetation_Health(t)</w:t>
      </w:r>
    </w:p>
    <w:p>
      <w:pPr>
        <w:spacing w:after="80" w:line="276"/>
        <w:ind w:left="480"/>
        <w:jc w:val="left"/>
      </w:pPr>
      <w:r>
        <w:rPr>
          <w:rFonts w:ascii="Courier New" w:eastAsia="Courier New"/>
          <w:color w:val="333333"/>
          <w:sz w:val="20"/>
          <w:szCs w:val="20"/>
        </w:rPr>
        <w:t xml:space="preserve">Vegetation_Health(t), AGDD(t), Crop_Calendar → Crop_Stage(t+1)</w:t>
      </w:r>
    </w:p>
    <w:p>
      <w:pPr>
        <w:spacing w:after="80" w:line="276"/>
        <w:ind w:left="480"/>
        <w:jc w:val="left"/>
      </w:pPr>
      <w:r>
        <w:rPr>
          <w:rFonts w:ascii="Courier New" w:eastAsia="Courier New"/>
          <w:color w:val="333333"/>
          <w:sz w:val="20"/>
          <w:szCs w:val="20"/>
        </w:rPr>
        <w:t xml:space="preserve">Vegetation_Health(t), Crop_Stage(t), Stress_Accumulation(t) → Yield_Risk(t+1)</w:t>
      </w:r>
    </w:p>
    <w:p>
      <w:pPr>
        <w:pStyle w:val="Heading3"/>
        <w:spacing w:after="120" w:before="280"/>
      </w:pPr>
      <w:bookmarkStart w:id="100016" w:name="_Toc100016"/>
      <w:r>
        <w:rPr>
          <w:rFonts w:ascii="Times New Roman" w:eastAsia="SimHei"/>
          <w:b/>
          <w:bCs/>
          <w:color w:val="162032"/>
          <w:sz w:val="24"/>
          <w:szCs w:val="24"/>
        </w:rPr>
        <w:t xml:space="preserve">4.4 DAG Structural Properties</w:t>
      </w:r>
      <w:bookmarkEnd w:id="1000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Property</w:t>
            </w:r>
          </w:p>
        </w:tc>
        <w:tc>
          <w:tcPr>
            <w:tcW w:type="pct" w:w="7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Acyclicity</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 same-time directed cycles; temporal indexing ensures DAG validity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Edge directionality</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All edges are temporally forward or same-time with clear causal precedence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VH → CS</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Forward in time: VH(t) → CS(t+1)</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CS → VH</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Same time step: CS(t) → VH(t) (crop stage determines stress sensitivity)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I_latent role</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Latent unobserved water input enters soil moisture equation at time t</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Stress accumulation</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Cumulative term that accumulates across time steps</w:t>
            </w:r>
          </w:p>
        </w:tc>
      </w:tr>
    </w:tbl>
    <w:p>
      <w:pPr>
        <w:pStyle w:val="Heading3"/>
        <w:spacing w:after="120" w:before="280"/>
      </w:pPr>
      <w:bookmarkStart w:id="100017" w:name="_Toc100017"/>
      <w:r>
        <w:rPr>
          <w:rFonts w:ascii="Times New Roman" w:eastAsia="SimHei"/>
          <w:b/>
          <w:bCs/>
          <w:color w:val="162032"/>
          <w:sz w:val="24"/>
          <w:szCs w:val="24"/>
        </w:rPr>
        <w:t xml:space="preserve">4.5 Key Causal Relationships Explained</w:t>
      </w:r>
      <w:bookmarkEnd w:id="100017"/>
    </w:p>
    <w:p>
      <w:pPr>
        <w:spacing w:after="120" w:line="312"/>
        <w:jc w:val="both"/>
      </w:pPr>
      <w:r>
        <w:rPr>
          <w:rFonts w:ascii="Times New Roman" w:eastAsia="SimSun"/>
          <w:color w:val="000000"/>
          <w:sz w:val="24"/>
          <w:szCs w:val="24"/>
        </w:rPr>
        <w:t xml:space="preserve">Weather → ET: Temperature and radiation drive evapotranspiration through the Penman-Monteith relationship. Higher temperatures increase atmospheric demand for water vapor, accelerating ET rates.</w:t>
      </w:r>
    </w:p>
    <w:p>
      <w:pPr>
        <w:spacing w:after="120" w:line="312"/>
        <w:jc w:val="both"/>
      </w:pPr>
      <w:r>
        <w:rPr>
          <w:rFonts w:ascii="Times New Roman" w:eastAsia="SimSun"/>
          <w:color w:val="000000"/>
          <w:sz w:val="24"/>
          <w:szCs w:val="24"/>
        </w:rPr>
        <w:t xml:space="preserve">Rainfall + ET + I_latent → Soil Moisture: The water balance determines soil moisture state. Rainfall and latent water inputs add water; ET and runoff remove it. The I_latent term captures all unobserved water inputs including irrigation, groundwater, and model errors.</w:t>
      </w:r>
    </w:p>
    <w:p>
      <w:pPr>
        <w:spacing w:after="120" w:line="312"/>
        <w:jc w:val="both"/>
      </w:pPr>
      <w:r>
        <w:rPr>
          <w:rFonts w:ascii="Times New Roman" w:eastAsia="SimSun"/>
          <w:color w:val="000000"/>
          <w:sz w:val="24"/>
          <w:szCs w:val="24"/>
        </w:rPr>
        <w:t xml:space="preserve">Soil Moisture + Temperature + Crop Stage → Vegetation Health: Vegetation health depends on water availability, atmospheric stress, and the crop's development stage which determines its stress sensitivity. Crops are most sensitive to drought during flowering and grain-filling stages.</w:t>
      </w:r>
    </w:p>
    <w:p>
      <w:pPr>
        <w:spacing w:after="120" w:line="312"/>
        <w:jc w:val="both"/>
      </w:pPr>
      <w:r>
        <w:rPr>
          <w:rFonts w:ascii="Times New Roman" w:eastAsia="SimSun"/>
          <w:color w:val="000000"/>
          <w:sz w:val="24"/>
          <w:szCs w:val="24"/>
        </w:rPr>
        <w:t xml:space="preserve">Vegetation Health + AGDD + Crop Calendar → Crop Stage (t+1): Phenology advances based on accumulated thermal time and the crop's current health status. Stressed crops may experience delayed phenology. The crop calendar provides a prior for expected transition timing.</w:t>
      </w:r>
    </w:p>
    <w:p>
      <w:pPr>
        <w:spacing w:after="120" w:line="312"/>
        <w:jc w:val="both"/>
      </w:pPr>
      <w:r>
        <w:rPr>
          <w:rFonts w:ascii="Times New Roman" w:eastAsia="SimSun"/>
          <w:color w:val="000000"/>
          <w:sz w:val="24"/>
          <w:szCs w:val="24"/>
        </w:rPr>
        <w:t xml:space="preserve">Vegetation Health + Crop Stage + Stress Accumulation → Yield Risk (t+1): Yield risk emerges from the cumulative stress experienced by the crop, weighted by the phenology stage at which stress occurred. Stress during reproductive stages has disproportionate yield impact.</w:t>
      </w:r>
    </w:p>
    <w:p>
      <w:pPr>
        <w:pStyle w:val="Heading1"/>
        <w:spacing w:after="200" w:before="480"/>
      </w:pPr>
      <w:bookmarkStart w:id="100018" w:name="_Toc100018"/>
      <w:r>
        <w:rPr>
          <w:rFonts w:ascii="Times New Roman" w:eastAsia="SimHei"/>
          <w:b/>
          <w:bCs/>
          <w:color w:val="162032"/>
          <w:sz w:val="32"/>
          <w:szCs w:val="32"/>
        </w:rPr>
        <w:t xml:space="preserve">Part II: Architecture Specification</w:t>
      </w:r>
      <w:bookmarkEnd w:id="100018"/>
    </w:p>
    <w:p>
      <w:pPr>
        <w:pStyle w:val="Heading2"/>
        <w:spacing w:after="160" w:before="360"/>
      </w:pPr>
      <w:bookmarkStart w:id="100019" w:name="_Toc100019"/>
      <w:r>
        <w:rPr>
          <w:rFonts w:ascii="Times New Roman" w:eastAsia="SimHei"/>
          <w:b/>
          <w:bCs/>
          <w:color w:val="162032"/>
          <w:sz w:val="28"/>
          <w:szCs w:val="28"/>
        </w:rPr>
        <w:t xml:space="preserve">5. Complete Model Architecture</w:t>
      </w:r>
      <w:bookmarkEnd w:id="100019"/>
    </w:p>
    <w:p>
      <w:pPr>
        <w:pStyle w:val="Heading3"/>
        <w:spacing w:after="120" w:before="280"/>
      </w:pPr>
      <w:bookmarkStart w:id="100020" w:name="_Toc100020"/>
      <w:r>
        <w:rPr>
          <w:rFonts w:ascii="Times New Roman" w:eastAsia="SimHei"/>
          <w:b/>
          <w:bCs/>
          <w:color w:val="162032"/>
          <w:sz w:val="24"/>
          <w:szCs w:val="24"/>
        </w:rPr>
        <w:t xml:space="preserve">5.1 MVP Architecture (Final)</w:t>
      </w:r>
      <w:bookmarkEnd w:id="100020"/>
    </w:p>
    <w:p>
      <w:pPr>
        <w:spacing w:after="120" w:line="312"/>
        <w:jc w:val="both"/>
      </w:pPr>
      <w:r>
        <w:rPr>
          <w:rFonts w:ascii="Times New Roman" w:eastAsia="SimSun"/>
          <w:color w:val="000000"/>
          <w:sz w:val="24"/>
          <w:szCs w:val="24"/>
        </w:rPr>
        <w:t xml:space="preserve">The first implementation uses a staged architecture: Fine Satellite Encoder (ViT-based) → Weather/Climate Temporal Encoder → Soil/Static Context Encoder → Crop Calendar/Crop Type Embedding → Scale-Aware Fusion Module → Hierarchical Temporal Memory Module (5-day + Monthly) → Shared Agro-Ecosystem State Representation → Three Output Heads (Crop Stress Detection, Phenology Forecast, Yield Risk/Yield Anomaly) → Weak Physics Regularization (Water Balance + Plant Growth) during training.</w:t>
      </w:r>
    </w:p>
    <w:p>
      <w:pPr>
        <w:pStyle w:val="Heading3"/>
        <w:spacing w:after="120" w:before="280"/>
      </w:pPr>
      <w:bookmarkStart w:id="100021" w:name="_Toc100021"/>
      <w:r>
        <w:rPr>
          <w:rFonts w:ascii="Times New Roman" w:eastAsia="SimHei"/>
          <w:b/>
          <w:bCs/>
          <w:color w:val="162032"/>
          <w:sz w:val="24"/>
          <w:szCs w:val="24"/>
        </w:rPr>
        <w:t xml:space="preserve">5.2 Component Specifications</w:t>
      </w:r>
      <w:bookmarkEnd w:id="100021"/>
    </w:p>
    <w:p>
      <w:pPr>
        <w:spacing w:after="120" w:line="312"/>
        <w:jc w:val="both"/>
      </w:pPr>
      <w:r>
        <w:rPr>
          <w:rFonts w:ascii="Times New Roman" w:eastAsia="SimSun"/>
          <w:b/>
          <w:bCs/>
          <w:color w:val="000000"/>
          <w:sz w:val="24"/>
          <w:szCs w:val="24"/>
        </w:rPr>
        <w:t xml:space="preserve">5.2.1 Fine Satellite Encoder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6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 architecture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Vision Transformer (ViT)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Input</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 HLS multi-spectral imagery (10-30m)</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Patch size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16×16 pixels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Input bands</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B2,B3,B4,B8 (10m) + B5,B6,B7,B8A,B11,B12 (20m resampled)</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input</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Sequence of 5-day composites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Positional encoding</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2D spatial + temporal encoding</w:t>
            </w:r>
          </w:p>
        </w:tc>
      </w:tr>
      <w:tr>
        <w:trPr>
          <w:cantSplit/>
        </w:trPr>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Approximate parameters</w:t>
            </w:r>
          </w:p>
        </w:tc>
        <w:tc>
          <w:tcPr>
            <w:tcW w:type="pct" w:w="6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30-50M parameters</w:t>
            </w:r>
          </w:p>
        </w:tc>
      </w:tr>
    </w:tbl>
    <w:p>
      <w:pPr>
        <w:spacing w:after="120" w:line="312"/>
        <w:jc w:val="both"/>
      </w:pPr>
      <w:r>
        <w:rPr>
          <w:rFonts w:ascii="Times New Roman" w:eastAsia="SimSun"/>
          <w:b/>
          <w:bCs/>
          <w:color w:val="000000"/>
          <w:sz w:val="24"/>
          <w:szCs w:val="24"/>
        </w:rPr>
        <w:t xml:space="preserve">5.2.2 Weather / Climate Temporal Encoder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6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 architecture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Transformer</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Input</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 / CHIRPS climate variables at native resolution (~31km / ~5km)</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Variables</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Temperature (min/max/mean), precipitation, wind speed, solar radiation, humidity</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resolution</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 aggregated to 5-day windows</w:t>
            </w:r>
          </w:p>
        </w:tc>
      </w:tr>
      <w:tr>
        <w:trPr>
          <w:cantSplit/>
        </w:trPr>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Approximate parameters</w:t>
            </w:r>
          </w:p>
        </w:tc>
        <w:tc>
          <w:tcPr>
            <w:tcW w:type="pct" w:w="6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10-15M parameters</w:t>
            </w:r>
          </w:p>
        </w:tc>
      </w:tr>
    </w:tbl>
    <w:p>
      <w:pPr>
        <w:spacing w:after="120" w:line="312"/>
        <w:jc w:val="both"/>
      </w:pPr>
      <w:r>
        <w:rPr>
          <w:rFonts w:ascii="Times New Roman" w:eastAsia="SimSun"/>
          <w:b/>
          <w:bCs/>
          <w:color w:val="000000"/>
          <w:sz w:val="24"/>
          <w:szCs w:val="24"/>
        </w:rPr>
        <w:t xml:space="preserve">5.2.3 Soil / Static Context Encoder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6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 architecture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MLP or single GNN if topology available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Input</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 variables at ~250m resolution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Variables</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Clay, sand, organic carbon, pH, CEC, bulk density, soil depth</w:t>
            </w:r>
          </w:p>
        </w:tc>
      </w:tr>
      <w:tr>
        <w:trPr>
          <w:cantSplit/>
        </w:trPr>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Approximate parameters</w:t>
            </w:r>
          </w:p>
        </w:tc>
        <w:tc>
          <w:tcPr>
            <w:tcW w:type="pct" w:w="6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2-5M parameters</w:t>
            </w:r>
          </w:p>
        </w:tc>
      </w:tr>
    </w:tbl>
    <w:p>
      <w:pPr>
        <w:spacing w:after="120" w:line="312"/>
        <w:jc w:val="both"/>
      </w:pPr>
      <w:r>
        <w:rPr>
          <w:rFonts w:ascii="Times New Roman" w:eastAsia="SimSun"/>
          <w:b/>
          <w:bCs/>
          <w:color w:val="000000"/>
          <w:sz w:val="24"/>
          <w:szCs w:val="24"/>
        </w:rPr>
        <w:t xml:space="preserve">5.2.4 Crop Calendar / Crop Type Embedding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6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Architecture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Learned embedding layer</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Input</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type, planting date, expected harvest date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Source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GEOGLAM crop calendars, crop masks</w:t>
            </w:r>
          </w:p>
        </w:tc>
      </w:tr>
      <w:tr>
        <w:trPr>
          <w:cantSplit/>
        </w:trPr>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Approximate parameters</w:t>
            </w:r>
          </w:p>
        </w:tc>
        <w:tc>
          <w:tcPr>
            <w:tcW w:type="pct" w:w="6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&lt;1M parameters</w:t>
            </w:r>
          </w:p>
        </w:tc>
      </w:tr>
    </w:tbl>
    <w:p>
      <w:pPr>
        <w:spacing w:after="120" w:line="312"/>
        <w:jc w:val="both"/>
      </w:pPr>
      <w:r>
        <w:rPr>
          <w:rFonts w:ascii="Times New Roman" w:eastAsia="SimSun"/>
          <w:b/>
          <w:bCs/>
          <w:color w:val="000000"/>
          <w:sz w:val="24"/>
          <w:szCs w:val="24"/>
        </w:rPr>
        <w:t xml:space="preserve">5.2.5 Scale-Aware Fusion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6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Architecture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Cross-attention with resolution-aware positional encoding</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Input</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Token sequences from all encoders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Mechanism</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Fine-resolution tokens attend to coarse-resolution context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Resolution handling</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Multi-resolution tokens preserved; no forced upsampling to 10m</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Missing modality</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Modality-present mask + learned missing-modality token</w:t>
            </w:r>
          </w:p>
        </w:tc>
      </w:tr>
      <w:tr>
        <w:trPr>
          <w:cantSplit/>
        </w:trPr>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Approximate parameters</w:t>
            </w:r>
          </w:p>
        </w:tc>
        <w:tc>
          <w:tcPr>
            <w:tcW w:type="pct" w:w="6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15-25M parameters</w:t>
            </w:r>
          </w:p>
        </w:tc>
      </w:tr>
    </w:tbl>
    <w:p>
      <w:pPr>
        <w:spacing w:after="120" w:line="312"/>
        <w:jc w:val="both"/>
      </w:pPr>
      <w:r>
        <w:rPr>
          <w:rFonts w:ascii="Times New Roman" w:eastAsia="SimSun"/>
          <w:b/>
          <w:bCs/>
          <w:color w:val="000000"/>
          <w:sz w:val="24"/>
          <w:szCs w:val="24"/>
        </w:rPr>
        <w:t xml:space="preserve">5.2.6 Hierarchical Temporal Memory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6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Architecture</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Two-level temporal transformer</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Level 1</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Short-term memory: 5-day composite sequence (within-season dynamics)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Level 2</w:t>
            </w:r>
          </w:p>
        </w:tc>
        <w:tc>
          <w:tcPr>
            <w:tcW w:type="pct" w:w="6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Long-term memory: Monthly aggregated sequence (seasonal patterns)</w:t>
            </w:r>
          </w:p>
        </w:tc>
      </w:tr>
      <w:tr>
        <w:trPr>
          <w:cantSplit/>
        </w:trPr>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Approximate parameters</w:t>
            </w:r>
          </w:p>
        </w:tc>
        <w:tc>
          <w:tcPr>
            <w:tcW w:type="pct" w:w="6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20-30M parameters</w:t>
            </w:r>
          </w:p>
        </w:tc>
      </w:tr>
    </w:tbl>
    <w:p>
      <w:pPr>
        <w:spacing w:after="120" w:line="312"/>
        <w:jc w:val="both"/>
      </w:pPr>
      <w:r>
        <w:rPr>
          <w:rFonts w:ascii="Times New Roman" w:eastAsia="SimSun"/>
          <w:b/>
          <w:bCs/>
          <w:color w:val="000000"/>
          <w:sz w:val="24"/>
          <w:szCs w:val="24"/>
        </w:rPr>
        <w:t xml:space="preserve">5.2.7 Output Heads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Head</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Architecture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Output</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Stress Detection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MLP with sigmoid output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Binary/multi-class stress probability per pixel per time step</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Phenology Forecast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MLP with softmax over stages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Stage probability + transition timing (MAE in days)</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Yield Risk / Yield Anomaly</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MLP with Gaussian output</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Yield anomaly prediction with uncertainty</w:t>
            </w:r>
          </w:p>
        </w:tc>
      </w:tr>
    </w:tbl>
    <w:p>
      <w:pPr>
        <w:spacing w:after="120" w:line="312"/>
        <w:jc w:val="both"/>
      </w:pPr>
      <w:r>
        <w:rPr>
          <w:rFonts w:ascii="Times New Roman" w:eastAsia="SimSun"/>
          <w:color w:val="000000"/>
          <w:sz w:val="24"/>
          <w:szCs w:val="24"/>
        </w:rPr>
        <w:t xml:space="preserve">Note: The Food-Security Risk head is REMOVED from the MVP. Food-security risk requires socioeconomic vulnerability, market, storage, and population data not included in the first model. This has been reframed as agricultural production risk or yield-shortfall risk.</w:t>
      </w:r>
    </w:p>
    <w:p>
      <w:pPr>
        <w:pStyle w:val="Heading3"/>
        <w:spacing w:after="120" w:before="280"/>
      </w:pPr>
      <w:bookmarkStart w:id="100022" w:name="_Toc100022"/>
      <w:r>
        <w:rPr>
          <w:rFonts w:ascii="Times New Roman" w:eastAsia="SimHei"/>
          <w:b/>
          <w:bCs/>
          <w:color w:val="162032"/>
          <w:sz w:val="24"/>
          <w:szCs w:val="24"/>
        </w:rPr>
        <w:t xml:space="preserve">5.3 Components Deferred from MVP</w:t>
      </w:r>
      <w:bookmarkEnd w:id="10002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Component</w:t>
            </w:r>
          </w:p>
        </w:tc>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Status</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Reason</w:t>
            </w:r>
          </w:p>
        </w:tc>
        <w:tc>
          <w:tcPr>
            <w:tcW w:type="pct" w:w="3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Re-evaluation Condition</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Full spatial topology GNN</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Optional extension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Requires robust graph construction</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If spatial context encoding insufficient</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Full neural causal discovery</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Deferred (Phase 2)</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 validation burden</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After causal module passes G6 gate</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Counterfactual reasoning module</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Deferred or limited demo</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Requires validated temporal-DAG + physics</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After C5 validated and physics stable</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Food-security output head</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Removed from MVP</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Requires socioeconomic data</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If socioeconomic data pipeline built in Phase 2</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Resilience score head</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Deferred</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Requires validated stress + recovery modeling</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After crop-stress detection is robust</w:t>
            </w:r>
          </w:p>
        </w:tc>
      </w:tr>
      <w:tr>
        <w:trPr>
          <w:cantSplit/>
        </w:trPr>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DSSAT/APSIM integration</w:t>
            </w:r>
          </w:p>
        </w:tc>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Optional case-study baseline</w:t>
            </w:r>
          </w:p>
        </w:tc>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Requires detailed management data</w:t>
            </w:r>
          </w:p>
        </w:tc>
        <w:tc>
          <w:tcPr>
            <w:tcW w:type="pct" w:w="3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If process-model comparison essential</w:t>
            </w:r>
          </w:p>
        </w:tc>
      </w:tr>
    </w:tbl>
    <w:p>
      <w:pPr>
        <w:pStyle w:val="Heading3"/>
        <w:spacing w:after="120" w:before="280"/>
      </w:pPr>
      <w:bookmarkStart w:id="100023" w:name="_Toc100023"/>
      <w:r>
        <w:rPr>
          <w:rFonts w:ascii="Times New Roman" w:eastAsia="SimHei"/>
          <w:b/>
          <w:bCs/>
          <w:color w:val="162032"/>
          <w:sz w:val="24"/>
          <w:szCs w:val="24"/>
        </w:rPr>
        <w:t xml:space="preserve">5.4 Model Size and Token Budget</w:t>
      </w:r>
      <w:bookmarkEnd w:id="10002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Component</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Estimated Parameters</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Token Budget</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Satellite Encoder (ViT)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30-50M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~256 tokens per time step</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Weather Encoder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10-15M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~1-4 tokens per time step</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 Encoder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~1-4 tokens per time step</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Calendar Embedding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 token per time step</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Fusion Module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15-25M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Cross-attention: fine queries, all keys/values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Memory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20-30M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 ~24 tokens; Monthly: ~6 tokens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Output Heads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Per-head MLP</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Total MVP</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~80-130M</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~280-290 tokens per time step</w:t>
            </w:r>
          </w:p>
        </w:tc>
      </w:tr>
    </w:tbl>
    <w:p>
      <w:pPr>
        <w:pStyle w:val="Heading2"/>
        <w:spacing w:after="160" w:before="360"/>
      </w:pPr>
      <w:bookmarkStart w:id="100024" w:name="_Toc100024"/>
      <w:r>
        <w:rPr>
          <w:rFonts w:ascii="Times New Roman" w:eastAsia="SimHei"/>
          <w:b/>
          <w:bCs/>
          <w:color w:val="162032"/>
          <w:sz w:val="28"/>
          <w:szCs w:val="28"/>
        </w:rPr>
        <w:t xml:space="preserve">6. Missing Modality Protocol</w:t>
      </w:r>
      <w:bookmarkEnd w:id="100024"/>
    </w:p>
    <w:p>
      <w:pPr>
        <w:pStyle w:val="Heading3"/>
        <w:spacing w:after="120" w:before="280"/>
      </w:pPr>
      <w:bookmarkStart w:id="100025" w:name="_Toc100025"/>
      <w:r>
        <w:rPr>
          <w:rFonts w:ascii="Times New Roman" w:eastAsia="SimHei"/>
          <w:b/>
          <w:bCs/>
          <w:color w:val="162032"/>
          <w:sz w:val="24"/>
          <w:szCs w:val="24"/>
        </w:rPr>
        <w:t xml:space="preserve">6.1 Design</w:t>
      </w:r>
      <w:bookmarkEnd w:id="100025"/>
    </w:p>
    <w:p>
      <w:pPr>
        <w:spacing w:after="120" w:line="312"/>
        <w:jc w:val="both"/>
      </w:pPr>
      <w:r>
        <w:rPr>
          <w:rFonts w:ascii="Times New Roman" w:eastAsia="SimSun"/>
          <w:color w:val="000000"/>
          <w:sz w:val="24"/>
          <w:szCs w:val="24"/>
        </w:rPr>
        <w:t xml:space="preserve">The model must support missing or unavailable inputs during both training and inference. For each modality: (1) Add a modality-present mask (binary indicator per sample per modality). (2) Add a learned missing-modality token that replaces absent modality tokens. (3) Use modality dropout during training (randomly zero out entire modalities with probability p=0.1-0.2). (4) Report performance under missing-modality scenarios.</w:t>
      </w:r>
    </w:p>
    <w:p>
      <w:pPr>
        <w:pStyle w:val="Heading3"/>
        <w:spacing w:after="120" w:before="280"/>
      </w:pPr>
      <w:bookmarkStart w:id="100026" w:name="_Toc100026"/>
      <w:r>
        <w:rPr>
          <w:rFonts w:ascii="Times New Roman" w:eastAsia="SimHei"/>
          <w:b/>
          <w:bCs/>
          <w:color w:val="162032"/>
          <w:sz w:val="24"/>
          <w:szCs w:val="24"/>
        </w:rPr>
        <w:t xml:space="preserve">6.2 Missing-Modality Test Matrix</w:t>
      </w:r>
      <w:bookmarkEnd w:id="10002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Test</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3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Acceptance Criterion</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Full modality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All inputs available</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Baseline performance</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 soil moisture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Remove SMAP/ESA CCI</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&lt;5% relative drop in primary metrics</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 irrigation proxy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Remove irrigation-related features</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Documented performance impact</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 SAR (if included)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 optical-only fallback</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&lt;10% relative drop</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Cloud-degraded optical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Simulate missing optical observations</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Graceful degradation, not catastrophic failure</w:t>
            </w:r>
          </w:p>
        </w:tc>
      </w:tr>
      <w:tr>
        <w:trPr>
          <w:cantSplit/>
        </w:trPr>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Weather-only</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No satellite imagery</w:t>
            </w:r>
          </w:p>
        </w:tc>
        <w:tc>
          <w:tcPr>
            <w:tcW w:type="pct" w:w="3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Documented baseline for zero-optical scenarios</w:t>
            </w:r>
          </w:p>
        </w:tc>
      </w:tr>
    </w:tbl>
    <w:p>
      <w:pPr>
        <w:pStyle w:val="Heading1"/>
        <w:spacing w:after="200" w:before="480"/>
      </w:pPr>
      <w:bookmarkStart w:id="100027" w:name="_Toc100027"/>
      <w:r>
        <w:rPr>
          <w:rFonts w:ascii="Times New Roman" w:eastAsia="SimHei"/>
          <w:b/>
          <w:bCs/>
          <w:color w:val="162032"/>
          <w:sz w:val="32"/>
          <w:szCs w:val="32"/>
        </w:rPr>
        <w:t xml:space="preserve">Part III: Data Strategy</w:t>
      </w:r>
      <w:bookmarkEnd w:id="100027"/>
    </w:p>
    <w:p>
      <w:pPr>
        <w:pStyle w:val="Heading2"/>
        <w:spacing w:after="160" w:before="360"/>
      </w:pPr>
      <w:bookmarkStart w:id="100028" w:name="_Toc100028"/>
      <w:r>
        <w:rPr>
          <w:rFonts w:ascii="Times New Roman" w:eastAsia="SimHei"/>
          <w:b/>
          <w:bCs/>
          <w:color w:val="162032"/>
          <w:sz w:val="28"/>
          <w:szCs w:val="28"/>
        </w:rPr>
        <w:t xml:space="preserve">7. Multi-Resolution Datacube Design</w:t>
      </w:r>
      <w:bookmarkEnd w:id="100028"/>
    </w:p>
    <w:p>
      <w:pPr>
        <w:pStyle w:val="Heading3"/>
        <w:spacing w:after="120" w:before="280"/>
      </w:pPr>
      <w:bookmarkStart w:id="100029" w:name="_Toc100029"/>
      <w:r>
        <w:rPr>
          <w:rFonts w:ascii="Times New Roman" w:eastAsia="SimHei"/>
          <w:b/>
          <w:bCs/>
          <w:color w:val="162032"/>
          <w:sz w:val="24"/>
          <w:szCs w:val="24"/>
        </w:rPr>
        <w:t xml:space="preserve">7.1 Core Principle</w:t>
      </w:r>
      <w:bookmarkEnd w:id="100029"/>
    </w:p>
    <w:p>
      <w:pPr>
        <w:spacing w:after="120" w:line="312"/>
        <w:jc w:val="both"/>
      </w:pPr>
      <w:r>
        <w:rPr>
          <w:rFonts w:ascii="Times New Roman" w:eastAsia="SimSun"/>
          <w:color w:val="000000"/>
          <w:sz w:val="24"/>
          <w:szCs w:val="24"/>
        </w:rPr>
        <w:t xml:space="preserve">The model does NOT force all data to a common 10m grid. Each variable is represented at its appropriate spatial and temporal scale. The fusion module is designed to handle multi-resolution inputs natively. The original plan's approach of resampling all data to 10m Sentinel-2 resolution creates visually detailed but physically false precision. ERA5, SMAP, GRACE, groundwater, administrative yield, and management data do not support true 10m inference.</w:t>
      </w:r>
    </w:p>
    <w:p>
      <w:pPr>
        <w:pStyle w:val="Heading3"/>
        <w:spacing w:after="120" w:before="280"/>
      </w:pPr>
      <w:bookmarkStart w:id="100030" w:name="_Toc100030"/>
      <w:r>
        <w:rPr>
          <w:rFonts w:ascii="Times New Roman" w:eastAsia="SimHei"/>
          <w:b/>
          <w:bCs/>
          <w:color w:val="162032"/>
          <w:sz w:val="24"/>
          <w:szCs w:val="24"/>
        </w:rPr>
        <w:t xml:space="preserve">7.2 Resolution Tiers</w:t>
      </w:r>
      <w:bookmarkEnd w:id="10003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Tier</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Spatial Scale</w:t>
            </w:r>
          </w:p>
        </w:tc>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Temporal Scale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Data Types</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Token Treatment</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Fine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10-30m</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 composites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S2/HLS reflectance, vegetation indices, SAR</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Fine-resolution visual/vegetation tokens</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Intermediate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100-500m</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 to monthly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Aggregated vegetation, SAR moisture proxies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Aggregated context tokens</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Coarse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1-10km</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 to monthly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ERA5/CHIRPS weather, SMAP/ESA CCI soil moisture</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Coarse temporal weather/moisture tokens</w:t>
            </w:r>
          </w:p>
        </w:tc>
      </w:tr>
      <w:tr>
        <w:trPr>
          <w:cantSplit/>
        </w:trPr>
        <w:tc>
          <w:tcPr>
            <w:tcW w:type="pct" w:w="1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Regional</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Admin/field level</w:t>
            </w:r>
          </w:p>
        </w:tc>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Seasonal/annual</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Yield statistics, management records, crop maps</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Regional context tokens</w:t>
            </w:r>
          </w:p>
        </w:tc>
      </w:tr>
    </w:tbl>
    <w:p>
      <w:pPr>
        <w:pStyle w:val="Heading3"/>
        <w:spacing w:after="120" w:before="280"/>
      </w:pPr>
      <w:bookmarkStart w:id="100031" w:name="_Toc100031"/>
      <w:r>
        <w:rPr>
          <w:rFonts w:ascii="Times New Roman" w:eastAsia="SimHei"/>
          <w:b/>
          <w:bCs/>
          <w:color w:val="162032"/>
          <w:sz w:val="24"/>
          <w:szCs w:val="24"/>
        </w:rPr>
        <w:t xml:space="preserve">7.3 Datacube Construction Protocol</w:t>
      </w:r>
      <w:bookmarkEnd w:id="100031"/>
    </w:p>
    <w:p>
      <w:pPr>
        <w:spacing w:after="120" w:line="312"/>
        <w:jc w:val="both"/>
      </w:pPr>
      <w:r>
        <w:rPr>
          <w:rFonts w:ascii="Times New Roman" w:eastAsia="SimSun"/>
          <w:color w:val="000000"/>
          <w:sz w:val="24"/>
          <w:szCs w:val="24"/>
        </w:rPr>
        <w:t xml:space="preserve">(1) Coregistration: All data within each tier reprojected to common CRS. (2) Temporal alignment: All data aligned to 5-day composite windows. (3) Cloud handling: 5-day composites use median compositing with valid-pixel filtering. (4) No cross-tier resampling: Fine-tier data NOT upsampled from coarse-tier; coarse-tier NOT forced to 10m. (5) Metadata preservation: Each variable retains native resolution, uncertainty estimate, and source metadata.</w:t>
      </w:r>
    </w:p>
    <w:p>
      <w:pPr>
        <w:pStyle w:val="Heading2"/>
        <w:spacing w:after="160" w:before="360"/>
      </w:pPr>
      <w:bookmarkStart w:id="100032" w:name="_Toc100032"/>
      <w:r>
        <w:rPr>
          <w:rFonts w:ascii="Times New Roman" w:eastAsia="SimHei"/>
          <w:b/>
          <w:bCs/>
          <w:color w:val="162032"/>
          <w:sz w:val="28"/>
          <w:szCs w:val="28"/>
        </w:rPr>
        <w:t xml:space="preserve">8. Complete Data Source Catalog</w:t>
      </w:r>
      <w:bookmarkEnd w:id="100032"/>
    </w:p>
    <w:p>
      <w:pPr>
        <w:pStyle w:val="Heading3"/>
        <w:spacing w:after="120" w:before="280"/>
      </w:pPr>
      <w:bookmarkStart w:id="100033" w:name="_Toc100033"/>
      <w:r>
        <w:rPr>
          <w:rFonts w:ascii="Times New Roman" w:eastAsia="SimHei"/>
          <w:b/>
          <w:bCs/>
          <w:color w:val="162032"/>
          <w:sz w:val="24"/>
          <w:szCs w:val="24"/>
        </w:rPr>
        <w:t xml:space="preserve">8.1 Satellite Imagery</w:t>
      </w:r>
      <w:bookmarkEnd w:id="10003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Product</w:t>
            </w:r>
          </w:p>
        </w:tc>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Bands</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c>
          <w:tcPr>
            <w:tcW w:type="pct" w:w="17%"/>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License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L2A reflectance</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10-20m</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B2-B12, B8A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GEE / Copernicus Hub</w:t>
            </w:r>
          </w:p>
        </w:tc>
        <w:tc>
          <w:tcPr>
            <w:tcW w:type="pct" w:w="1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CC-BY-SA 4.0</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HLS</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HLSL30/HLSS30</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30m</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Visual + NIR + SWIR</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LP DAAC / GEE</w:t>
            </w:r>
          </w:p>
        </w:tc>
        <w:tc>
          <w:tcPr>
            <w:tcW w:type="pct" w:w="1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w:t>
            </w:r>
          </w:p>
        </w:tc>
      </w:tr>
      <w:tr>
        <w:trPr>
          <w:cantSplit/>
        </w:trPr>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Landsat 8/9</w:t>
            </w:r>
          </w:p>
        </w:tc>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L2 reflectance</w:t>
            </w:r>
          </w:p>
        </w:tc>
        <w:tc>
          <w:tcPr>
            <w:tcW w:type="pct" w:w="1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30m</w:t>
            </w:r>
          </w:p>
        </w:tc>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Multi-spectral</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USGS / GEE</w:t>
            </w:r>
          </w:p>
        </w:tc>
        <w:tc>
          <w:tcPr>
            <w:tcW w:type="pct" w:w="17%"/>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w:t>
            </w:r>
          </w:p>
        </w:tc>
      </w:tr>
    </w:tbl>
    <w:p>
      <w:pPr>
        <w:pStyle w:val="Heading3"/>
        <w:spacing w:after="120" w:before="280"/>
      </w:pPr>
      <w:bookmarkStart w:id="100034" w:name="_Toc100034"/>
      <w:r>
        <w:rPr>
          <w:rFonts w:ascii="Times New Roman" w:eastAsia="SimHei"/>
          <w:b/>
          <w:bCs/>
          <w:color w:val="162032"/>
          <w:sz w:val="24"/>
          <w:szCs w:val="24"/>
        </w:rPr>
        <w:t xml:space="preserve">8.2 Vegetation Indices</w:t>
      </w:r>
      <w:bookmarkEnd w:id="10003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Index</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Formula</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Derivation</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NDVI</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(B8 - B4) / (B8 + B4)</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Green vegetation density</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From S2 reflectance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EVI</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 × (B8 - B4) / (B8 + 6×B4 - 7.5×B2 + 1)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Corrected vegetation density</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From S2 reflectance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NDWI</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(B8 - B11) / (B8 + B11)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Vegetation water content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From S2 reflectance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LAI</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PROSAIL inversion or empirical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Leaf area index</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From S2 reflectance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FAPAR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PROSAIL inversion or empirical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Absorbed PAR</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From S2 reflectance</w:t>
            </w:r>
          </w:p>
        </w:tc>
      </w:tr>
      <w:tr>
        <w:trPr>
          <w:cantSplit/>
        </w:trPr>
        <w:tc>
          <w:tcPr>
            <w:tcW w:type="pct" w:w="1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NDMI</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(B8 - B11) / (B8 + B11)</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Normalized difference moisture</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From S2 reflectance</w:t>
            </w:r>
          </w:p>
        </w:tc>
      </w:tr>
    </w:tbl>
    <w:p>
      <w:pPr>
        <w:spacing w:after="120" w:line="312"/>
        <w:jc w:val="both"/>
      </w:pPr>
      <w:r>
        <w:rPr>
          <w:rFonts w:ascii="Times New Roman" w:eastAsia="SimSun"/>
          <w:color w:val="000000"/>
          <w:sz w:val="24"/>
          <w:szCs w:val="24"/>
        </w:rPr>
        <w:t xml:space="preserve">Note: Phenology transitions derived from vegetation-index derivatives are noisy pseudo-labels. The plan explicitly acknowledges this and estimates label noise rather than treating them as ground truth.</w:t>
      </w:r>
    </w:p>
    <w:p>
      <w:pPr>
        <w:pStyle w:val="Heading3"/>
        <w:spacing w:after="120" w:before="280"/>
      </w:pPr>
      <w:bookmarkStart w:id="100035" w:name="_Toc100035"/>
      <w:r>
        <w:rPr>
          <w:rFonts w:ascii="Times New Roman" w:eastAsia="SimHei"/>
          <w:b/>
          <w:bCs/>
          <w:color w:val="162032"/>
          <w:sz w:val="24"/>
          <w:szCs w:val="24"/>
        </w:rPr>
        <w:t xml:space="preserve">8.3 Climate Data</w:t>
      </w:r>
      <w:bookmarkEnd w:id="10003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Variables</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Spatial Resolution</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Temporal</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c>
          <w:tcPr>
            <w:tcW w:type="pct" w:w="13%"/>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License</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T_min, T_max, T_mean, P, wind, RH, solar, ET0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~31km</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Hourly→daily→5-day</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CDS API / GEE</w:t>
            </w:r>
          </w:p>
        </w:tc>
        <w:tc>
          <w:tcPr>
            <w:tcW w:type="pct" w:w="1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CC-BY-4.0</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CHIRPS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Precipitation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~5km</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CHIRPS API / GEE</w:t>
            </w:r>
          </w:p>
        </w:tc>
        <w:tc>
          <w:tcPr>
            <w:tcW w:type="pct" w:w="1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w:t>
            </w:r>
          </w:p>
        </w:tc>
      </w:tr>
      <w:tr>
        <w:trPr>
          <w:cantSplit/>
        </w:trPr>
        <w:tc>
          <w:tcPr>
            <w:tcW w:type="pct" w:w="1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ERA5-Land</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Enhanced land variables</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~9km</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Hourly</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CDS API</w:t>
            </w:r>
          </w:p>
        </w:tc>
        <w:tc>
          <w:tcPr>
            <w:tcW w:type="pct" w:w="13%"/>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CC-BY-4.0</w:t>
            </w:r>
          </w:p>
        </w:tc>
      </w:tr>
    </w:tbl>
    <w:p>
      <w:pPr>
        <w:pStyle w:val="Heading3"/>
        <w:spacing w:after="120" w:before="280"/>
      </w:pPr>
      <w:bookmarkStart w:id="100036" w:name="_Toc100036"/>
      <w:r>
        <w:rPr>
          <w:rFonts w:ascii="Times New Roman" w:eastAsia="SimHei"/>
          <w:b/>
          <w:bCs/>
          <w:color w:val="162032"/>
          <w:sz w:val="24"/>
          <w:szCs w:val="24"/>
        </w:rPr>
        <w:t xml:space="preserve">8.4 Soil Data</w:t>
      </w:r>
      <w:bookmarkEnd w:id="10003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Variables</w:t>
            </w:r>
          </w:p>
        </w:tc>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Type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 250m</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Clay%, Sand%, Organic C, pH, CEC, Bulk density, Depth</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ISRIC / GEE</w:t>
            </w:r>
          </w:p>
        </w:tc>
      </w:tr>
      <w:tr>
        <w:trPr>
          <w:cantSplit/>
        </w:trPr>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ISRIC</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Soil taxonomy, water holding capacity</w:t>
            </w:r>
          </w:p>
        </w:tc>
        <w:tc>
          <w:tcPr>
            <w:tcW w:type="pct" w:w="1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Variable</w:t>
            </w:r>
          </w:p>
        </w:tc>
        <w:tc>
          <w:tcPr>
            <w:tcW w:type="pct" w:w="1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ISRIC</w:t>
            </w:r>
          </w:p>
        </w:tc>
      </w:tr>
    </w:tbl>
    <w:p>
      <w:pPr>
        <w:pStyle w:val="Heading3"/>
        <w:spacing w:after="120" w:before="280"/>
      </w:pPr>
      <w:bookmarkStart w:id="100037" w:name="_Toc100037"/>
      <w:r>
        <w:rPr>
          <w:rFonts w:ascii="Times New Roman" w:eastAsia="SimHei"/>
          <w:b/>
          <w:bCs/>
          <w:color w:val="162032"/>
          <w:sz w:val="24"/>
          <w:szCs w:val="24"/>
        </w:rPr>
        <w:t xml:space="preserve">8.5 Soil Moisture</w:t>
      </w:r>
      <w:bookmarkEnd w:id="10003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Product</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Depth</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SMAP</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L3 Enhanced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~9km (3km enhanced)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0-5cm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NASA DAAC / GEE</w:t>
            </w:r>
          </w:p>
        </w:tc>
      </w:tr>
      <w:tr>
        <w:trPr>
          <w:cantSplit/>
        </w:trPr>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ESA CCI</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Active + Passive merged</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~25km</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0-5cm</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ESA CCI / GEE</w:t>
            </w:r>
          </w:p>
        </w:tc>
      </w:tr>
    </w:tbl>
    <w:p>
      <w:pPr>
        <w:spacing w:after="120" w:line="312"/>
        <w:jc w:val="both"/>
      </w:pPr>
      <w:r>
        <w:rPr>
          <w:rFonts w:ascii="Times New Roman" w:eastAsia="SimSun"/>
          <w:color w:val="000000"/>
          <w:sz w:val="24"/>
          <w:szCs w:val="24"/>
        </w:rPr>
        <w:t xml:space="preserve">Critical note: Soil moisture products provide coarse-resolution surface (0-5cm) estimates. They represent large-area moisture conditions, not field-scale root-zone soil moisture. They should be treated as coarse context, not fine-grained truth.</w:t>
      </w:r>
    </w:p>
    <w:p>
      <w:pPr>
        <w:pStyle w:val="Heading3"/>
        <w:spacing w:after="120" w:before="280"/>
      </w:pPr>
      <w:bookmarkStart w:id="100038" w:name="_Toc100038"/>
      <w:r>
        <w:rPr>
          <w:rFonts w:ascii="Times New Roman" w:eastAsia="SimHei"/>
          <w:b/>
          <w:bCs/>
          <w:color w:val="162032"/>
          <w:sz w:val="24"/>
          <w:szCs w:val="24"/>
        </w:rPr>
        <w:t xml:space="preserve">8.6 Groundwater</w:t>
      </w:r>
      <w:bookmarkEnd w:id="10003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Product</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GRACE/GRACE-FO</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Liquid water equivalent thickness</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~150-300km</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NASA JPL / GEE</w:t>
            </w:r>
          </w:p>
        </w:tc>
      </w:tr>
    </w:tbl>
    <w:p>
      <w:pPr>
        <w:spacing w:after="120" w:line="312"/>
        <w:jc w:val="both"/>
      </w:pPr>
      <w:r>
        <w:rPr>
          <w:rFonts w:ascii="Times New Roman" w:eastAsia="SimSun"/>
          <w:color w:val="000000"/>
          <w:sz w:val="24"/>
          <w:szCs w:val="24"/>
        </w:rPr>
        <w:t xml:space="preserve">Optional regional context only. Resolution is far too coarse for field-scale modeling. Used only as a regional drought indicator if included at all.</w:t>
      </w:r>
    </w:p>
    <w:p>
      <w:pPr>
        <w:pStyle w:val="Heading3"/>
        <w:spacing w:after="120" w:before="280"/>
      </w:pPr>
      <w:bookmarkStart w:id="100039" w:name="_Toc100039"/>
      <w:r>
        <w:rPr>
          <w:rFonts w:ascii="Times New Roman" w:eastAsia="SimHei"/>
          <w:b/>
          <w:bCs/>
          <w:color w:val="162032"/>
          <w:sz w:val="24"/>
          <w:szCs w:val="24"/>
        </w:rPr>
        <w:t xml:space="preserve">8.7 Crop Calendar and Crop Mask</w:t>
      </w:r>
      <w:bookmarkEnd w:id="10003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Variables</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GEOGLAM Crop Calendar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Planting/harvest dates by crop and region</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Regional/country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GEOGLAM / USDA</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ESA WorldCereal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type maps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ESA</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CDL (US)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type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USDA NASS</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ISRO Crop Maps (India)</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Crop type, kharif/rabi</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State/district</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Government of India / ISRO</w:t>
            </w:r>
          </w:p>
        </w:tc>
      </w:tr>
    </w:tbl>
    <w:p>
      <w:pPr>
        <w:spacing w:after="120" w:line="312"/>
        <w:jc w:val="both"/>
      </w:pPr>
      <w:r>
        <w:rPr>
          <w:rFonts w:ascii="Times New Roman" w:eastAsia="SimSun"/>
          <w:color w:val="000000"/>
          <w:sz w:val="24"/>
          <w:szCs w:val="24"/>
        </w:rPr>
        <w:t xml:space="preserve">Crop mask errors: Crop-type maps contain errors and should be treated as noisy labels. Use confidence filtering and crop-mask uncertainty. Sensitivity testing with high-confidence crop pixels only is required.</w:t>
      </w:r>
    </w:p>
    <w:p>
      <w:pPr>
        <w:pStyle w:val="Heading3"/>
        <w:spacing w:after="120" w:before="280"/>
      </w:pPr>
      <w:bookmarkStart w:id="100040" w:name="_Toc100040"/>
      <w:r>
        <w:rPr>
          <w:rFonts w:ascii="Times New Roman" w:eastAsia="SimHei"/>
          <w:b/>
          <w:bCs/>
          <w:color w:val="162032"/>
          <w:sz w:val="24"/>
          <w:szCs w:val="24"/>
        </w:rPr>
        <w:t xml:space="preserve">8.8 Yield Labels</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Scale</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Quality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USDA NASS (US)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County-level</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 quality, annually updated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ICRISAT (India)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District-level</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Good quality, historical series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FAOSTAT</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Country-level</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Coarse, cross-country comparison</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Field-level surveys</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Field-level</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Varies</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Rare but valuable when available</w:t>
            </w:r>
          </w:p>
        </w:tc>
      </w:tr>
    </w:tbl>
    <w:p>
      <w:pPr>
        <w:spacing w:after="120" w:line="312"/>
        <w:jc w:val="both"/>
      </w:pPr>
      <w:r>
        <w:rPr>
          <w:rFonts w:ascii="Times New Roman" w:eastAsia="SimSun"/>
          <w:color w:val="000000"/>
          <w:sz w:val="24"/>
          <w:szCs w:val="24"/>
        </w:rPr>
        <w:t xml:space="preserve">Scale mismatch rule: If yield is available only at district/county level, field-level predictions must be aggregated to the label scale before validation. Never claim field-level yield accuracy from administrative-level labels.</w:t>
      </w:r>
    </w:p>
    <w:p>
      <w:pPr>
        <w:pStyle w:val="Heading3"/>
        <w:spacing w:after="120" w:before="280"/>
      </w:pPr>
      <w:bookmarkStart w:id="100041" w:name="_Toc100041"/>
      <w:r>
        <w:rPr>
          <w:rFonts w:ascii="Times New Roman" w:eastAsia="SimHei"/>
          <w:b/>
          <w:bCs/>
          <w:color w:val="162032"/>
          <w:sz w:val="24"/>
          <w:szCs w:val="24"/>
        </w:rPr>
        <w:t xml:space="preserve">8.9 Irrigation and Management Proxies</w:t>
      </w:r>
      <w:bookmarkEnd w:id="10004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Data Type</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GMIA (FAO)</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Irrigated area fraction</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~10km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FAO</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IWMI Global Irrigation Map</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Irrigated/rainfed classification</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~500m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IWMI</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ESA WorldCereal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Irrigation classification</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ESA</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Census data</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Irrigated area by district</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Admin level</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Government statistical offices</w:t>
            </w:r>
          </w:p>
        </w:tc>
      </w:tr>
    </w:tbl>
    <w:p>
      <w:pPr>
        <w:spacing w:after="120" w:line="312"/>
        <w:jc w:val="both"/>
      </w:pPr>
      <w:r>
        <w:rPr>
          <w:rFonts w:ascii="Times New Roman" w:eastAsia="SimSun"/>
          <w:color w:val="000000"/>
          <w:sz w:val="24"/>
          <w:szCs w:val="24"/>
        </w:rPr>
        <w:t xml:space="preserve">Critical decision: Direct irrigation data is unreliable at fine spatial scales. The model uses I_latent (latent residual water-input inference term) rather than attempting to directly detect irrigation. Irrigation maps are used only as validation references for I_latent, not as direct inputs.</w:t>
      </w:r>
    </w:p>
    <w:p>
      <w:pPr>
        <w:pStyle w:val="Heading2"/>
        <w:spacing w:after="160" w:before="360"/>
      </w:pPr>
      <w:bookmarkStart w:id="100042" w:name="_Toc100042"/>
      <w:r>
        <w:rPr>
          <w:rFonts w:ascii="Times New Roman" w:eastAsia="SimHei"/>
          <w:b/>
          <w:bCs/>
          <w:color w:val="162032"/>
          <w:sz w:val="28"/>
          <w:szCs w:val="28"/>
        </w:rPr>
        <w:t xml:space="preserve">9. Scope-Lock Specifications</w:t>
      </w:r>
      <w:bookmarkEnd w:id="100042"/>
    </w:p>
    <w:p>
      <w:pPr>
        <w:pStyle w:val="Heading3"/>
        <w:spacing w:after="120" w:before="280"/>
      </w:pPr>
      <w:bookmarkStart w:id="100043" w:name="_Toc100043"/>
      <w:r>
        <w:rPr>
          <w:rFonts w:ascii="Times New Roman" w:eastAsia="SimHei"/>
          <w:b/>
          <w:bCs/>
          <w:color w:val="162032"/>
          <w:sz w:val="24"/>
          <w:szCs w:val="24"/>
        </w:rPr>
        <w:t xml:space="preserve">9.1 Crop Selection</w:t>
      </w:r>
      <w:bookmarkEnd w:id="10004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Crop</w:t>
            </w:r>
          </w:p>
        </w:tc>
        <w:tc>
          <w:tcPr>
            <w:tcW w:type="pct" w:w="8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Justification</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Wheat</w:t>
            </w:r>
          </w:p>
        </w:tc>
        <w:tc>
          <w:tcPr>
            <w:tcW w:type="pct" w:w="8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Globally important cereal; well-studied phenology; extensive data; drought-sensitive during reproductive stages; major crop in IGP and Mediterranean regions</w:t>
            </w:r>
          </w:p>
        </w:tc>
      </w:tr>
      <w:tr>
        <w:trPr>
          <w:cantSplit/>
        </w:trPr>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Maize</w:t>
            </w:r>
          </w:p>
        </w:tc>
        <w:tc>
          <w:tcPr>
            <w:tcW w:type="pct" w:w="8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Highest global production cereal; strong phenology signal from satellite; drought-sensitive during silking/grain-fill; major crop in US Corn Belt; contrasting growing season to wheat</w:t>
            </w:r>
          </w:p>
        </w:tc>
      </w:tr>
    </w:tbl>
    <w:p>
      <w:pPr>
        <w:spacing w:after="120" w:line="312"/>
        <w:jc w:val="both"/>
      </w:pPr>
      <w:r>
        <w:rPr>
          <w:rFonts w:ascii="Times New Roman" w:eastAsia="SimSun"/>
          <w:color w:val="000000"/>
          <w:sz w:val="24"/>
          <w:szCs w:val="24"/>
        </w:rPr>
        <w:t xml:space="preserve">Rationale for two crops: Two crops provide sufficient diversity for testing cross-crop transfer (Claim C2) while remaining tractable. Wheat and maize have well-characterized phenology, extensive ground-truth data, contrasting stress sensitivities, and grow in different seasons/regions.</w:t>
      </w:r>
    </w:p>
    <w:p>
      <w:pPr>
        <w:pStyle w:val="Heading3"/>
        <w:spacing w:after="120" w:before="280"/>
      </w:pPr>
      <w:bookmarkStart w:id="100044" w:name="_Toc100044"/>
      <w:r>
        <w:rPr>
          <w:rFonts w:ascii="Times New Roman" w:eastAsia="SimHei"/>
          <w:b/>
          <w:bCs/>
          <w:color w:val="162032"/>
          <w:sz w:val="24"/>
          <w:szCs w:val="24"/>
        </w:rPr>
        <w:t xml:space="preserve">9.2 Study Region Selection</w:t>
      </w:r>
      <w:bookmarkEnd w:id="10004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Region</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Climate</w:t>
            </w:r>
          </w:p>
        </w:tc>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Primary Crop</w:t>
            </w:r>
          </w:p>
        </w:tc>
        <w:tc>
          <w:tcPr>
            <w:tcW w:type="pct" w:w="3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Data Justification</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Indo-Gangetic Plain (Punjab/Haryana, India)</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Subtropical monsoon; irrigated + rainfed</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Wheat (rabi)</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ICRISAT district yield; ISRO crop maps; drought events 2002/2009/2014/2022; high cloud-free density in rabi; irrigation/rainfed contrast</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 Corn Belt (Iowa/Illinois)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Temperate continental; predominantly rainfed</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Maize</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USDA NASS county yield; CDL 30m crop maps; extensive weather stations; drought 2012/2023; low cloud contamination</w:t>
            </w:r>
          </w:p>
        </w:tc>
      </w:tr>
      <w:tr>
        <w:trPr>
          <w:cantSplit/>
        </w:trPr>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Iberian Peninsula (Castilla-y-León/Andalucía, Spain)</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Mediterranean; water-limited; drought-prone</w:t>
            </w:r>
          </w:p>
        </w:tc>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Wheat</w:t>
            </w:r>
          </w:p>
        </w:tc>
        <w:tc>
          <w:tcPr>
            <w:tcW w:type="pct" w:w="3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Eurostat/CAP yield; ESA WorldCereal; severe drought 2017/2019/2022-23; irrigation/rainfed contrast; tests water-limited conditions</w:t>
            </w:r>
          </w:p>
        </w:tc>
      </w:tr>
    </w:tbl>
    <w:p>
      <w:pPr>
        <w:pStyle w:val="Heading3"/>
        <w:spacing w:after="120" w:before="280"/>
      </w:pPr>
      <w:bookmarkStart w:id="100045" w:name="_Toc100045"/>
      <w:r>
        <w:rPr>
          <w:rFonts w:ascii="Times New Roman" w:eastAsia="SimHei"/>
          <w:b/>
          <w:bCs/>
          <w:color w:val="162032"/>
          <w:sz w:val="24"/>
          <w:szCs w:val="24"/>
        </w:rPr>
        <w:t xml:space="preserve">9.3 Region Selection Criteria Verification</w:t>
      </w:r>
      <w:bookmarkEnd w:id="10004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Criterion</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IGP</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US Corn Belt</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Iberian Peninsula</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map available</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(ISRO/Gov India)</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(CDL 30m)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(ESA WorldCereal)</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Sufficient cloud-free observations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(rabi season)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(summer)</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(spring)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Weather data for all years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(ERA5/CHIRPS)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(ERA5/NOAA)</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(ERA5)</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Yield labels available</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(ICRISAT district)</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(USDA NASS county)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(Eurostat/CAP)</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Known drought events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2002, 2009, 2014, 2022</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2012, 2023</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2017, 2019, 2022-23</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Irrigation information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(GMIA/IWMI)</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(USDA FRIS)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 (GMIA/IWMI)</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5+ years of data</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Yes (2017-2023)</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Yes (2017-2023)</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Yes (2017-2023)</w:t>
            </w:r>
          </w:p>
        </w:tc>
      </w:tr>
    </w:tbl>
    <w:p>
      <w:pPr>
        <w:pStyle w:val="Heading3"/>
        <w:spacing w:after="120" w:before="280"/>
      </w:pPr>
      <w:bookmarkStart w:id="100046" w:name="_Toc100046"/>
      <w:r>
        <w:rPr>
          <w:rFonts w:ascii="Times New Roman" w:eastAsia="SimHei"/>
          <w:b/>
          <w:bCs/>
          <w:color w:val="162032"/>
          <w:sz w:val="24"/>
          <w:szCs w:val="24"/>
        </w:rPr>
        <w:t xml:space="preserve">9.4 Temporal Coverage</w:t>
      </w:r>
      <w:bookmarkEnd w:id="10004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7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Study period</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2017-2023 (7 years)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Rationale</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Post-S2A/B launch; captures multiple drought events; overlaps with HLS and SMAP availability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Growing seasons covered</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~7 seasons per crop per region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resolution</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 composites within growing season; monthly outside</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Total time steps per season</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~24 five-day composites (120 days) for in-season modeling</w:t>
            </w:r>
          </w:p>
        </w:tc>
      </w:tr>
    </w:tbl>
    <w:p>
      <w:pPr>
        <w:pStyle w:val="Heading3"/>
        <w:spacing w:after="120" w:before="280"/>
      </w:pPr>
      <w:bookmarkStart w:id="100047" w:name="_Toc100047"/>
      <w:r>
        <w:rPr>
          <w:rFonts w:ascii="Times New Roman" w:eastAsia="SimHei"/>
          <w:b/>
          <w:bCs/>
          <w:color w:val="162032"/>
          <w:sz w:val="24"/>
          <w:szCs w:val="24"/>
        </w:rPr>
        <w:t xml:space="preserve">9.5 Train / Validation / Test Split Protocol</w:t>
      </w:r>
      <w:bookmarkEnd w:id="10004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Split</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Method</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24%"/>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Data Fraction</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Train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Random within-region, specific years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Model fitting</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~60% of years (2017-2020)</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Validation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Out-of-year within-region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Hyperparameter selection, early stopping</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 of years (2021)</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Test-In-Region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Out-of-year, different from validation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Final in-region performance</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 of years (2022)</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Test-Out-Region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Entire held-out region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Spatial transfer evaluation</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 region held out</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Test-Extreme</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 year holdout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Extreme-event robustness</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Specific drought years</w:t>
            </w:r>
          </w:p>
        </w:tc>
      </w:tr>
      <w:tr>
        <w:trPr>
          <w:cantSplit/>
        </w:trPr>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Test-Early-Season</w:t>
            </w:r>
          </w:p>
        </w:tc>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Partial season observations only</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No-leakage forecasting</w:t>
            </w:r>
          </w:p>
        </w:tc>
        <w:tc>
          <w:tcPr>
            <w:tcW w:type="pct" w:w="24%"/>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Early-season subsets</w:t>
            </w:r>
          </w:p>
        </w:tc>
      </w:tr>
    </w:tbl>
    <w:p>
      <w:pPr>
        <w:spacing w:after="120" w:line="312"/>
        <w:jc w:val="both"/>
      </w:pPr>
      <w:r>
        <w:rPr>
          <w:rFonts w:ascii="Times New Roman" w:eastAsia="SimSun"/>
          <w:color w:val="000000"/>
          <w:sz w:val="24"/>
          <w:szCs w:val="24"/>
        </w:rPr>
        <w:t xml:space="preserve">Split locking rule: All splits must be defined BEFORE model selection and training begins to prevent data leakage. Region/year/event splits are fixed and committed to version control.</w:t>
      </w:r>
    </w:p>
    <w:p>
      <w:pPr>
        <w:spacing w:after="120" w:line="312"/>
        <w:jc w:val="both"/>
      </w:pPr>
      <w:r>
        <w:rPr>
          <w:rFonts w:ascii="Times New Roman" w:eastAsia="SimSun"/>
          <w:color w:val="000000"/>
          <w:sz w:val="24"/>
          <w:szCs w:val="24"/>
        </w:rPr>
        <w:t xml:space="preserve">No-leakage protocol: Future satellite observations beyond forecast date are PROHIBITED. Full-season composites in early-season predictions are PROHIBITED. Yield labels from the target prediction period are PROHIBITED. Gap-filled products using future observations are PROHIBITED unless explicitly documented. Region-level normalization using held-out region statistics is PROHIBITED. All preprocessing must be fit only on training data.</w:t>
      </w:r>
    </w:p>
    <w:p>
      <w:pPr>
        <w:pStyle w:val="Heading3"/>
        <w:spacing w:after="120" w:before="280"/>
      </w:pPr>
      <w:bookmarkStart w:id="100048" w:name="_Toc100048"/>
      <w:r>
        <w:rPr>
          <w:rFonts w:ascii="Times New Roman" w:eastAsia="SimHei"/>
          <w:b/>
          <w:bCs/>
          <w:color w:val="162032"/>
          <w:sz w:val="24"/>
          <w:szCs w:val="24"/>
        </w:rPr>
        <w:t xml:space="preserve">9.6 Label Sources and Scales</w:t>
      </w:r>
      <w:bookmarkEnd w:id="10004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Region</w:t>
            </w:r>
          </w:p>
        </w:tc>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Crop</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Label Source</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Scale</w:t>
            </w:r>
          </w:p>
        </w:tc>
        <w:tc>
          <w:tcPr>
            <w:tcW w:type="pct" w:w="26%"/>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Variables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IGP (India)</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Wheat</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ICRISAT VDSA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District-level</w:t>
            </w:r>
          </w:p>
        </w:tc>
        <w:tc>
          <w:tcPr>
            <w:tcW w:type="pct" w:w="26%"/>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Yield (t/ha)</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 Corn Belt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Maize</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USDA NASS Quick Stats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County-level</w:t>
            </w:r>
          </w:p>
        </w:tc>
        <w:tc>
          <w:tcPr>
            <w:tcW w:type="pct" w:w="26%"/>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Yield (bu/acre → t/ha)</w:t>
            </w:r>
          </w:p>
        </w:tc>
      </w:tr>
      <w:tr>
        <w:trPr>
          <w:cantSplit/>
        </w:trPr>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Iberian Peninsula</w:t>
            </w:r>
          </w:p>
        </w:tc>
        <w:tc>
          <w:tcPr>
            <w:tcW w:type="pct" w:w="1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Wheat</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Eurostat/CAP</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NUTS2/Province</w:t>
            </w:r>
          </w:p>
        </w:tc>
        <w:tc>
          <w:tcPr>
            <w:tcW w:type="pct" w:w="26%"/>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Yield (t/ha)</w:t>
            </w:r>
          </w:p>
        </w:tc>
      </w:tr>
    </w:tbl>
    <w:p>
      <w:pPr>
        <w:spacing w:after="120" w:line="312"/>
        <w:jc w:val="both"/>
      </w:pPr>
      <w:r>
        <w:rPr>
          <w:rFonts w:ascii="Times New Roman" w:eastAsia="SimSun"/>
          <w:color w:val="000000"/>
          <w:sz w:val="24"/>
          <w:szCs w:val="24"/>
        </w:rPr>
        <w:t xml:space="preserve">Phenology pseudo-labels: Derived from NDVI/EVI time-series derivatives. These are noisy estimates, not ground truth. Crop stress labels: Defined as vegetation health anomalies below threshold (NDVI anomaly &lt; -1σ or VHI &lt; 35). Scale compliance rule: Predictions validated ONLY at the spatial scale of ground truth labels.</w:t>
      </w:r>
    </w:p>
    <w:p>
      <w:pPr>
        <w:pStyle w:val="Heading2"/>
        <w:spacing w:after="160" w:before="360"/>
      </w:pPr>
      <w:bookmarkStart w:id="100049" w:name="_Toc100049"/>
      <w:r>
        <w:rPr>
          <w:rFonts w:ascii="Times New Roman" w:eastAsia="SimHei"/>
          <w:b/>
          <w:bCs/>
          <w:color w:val="162032"/>
          <w:sz w:val="28"/>
          <w:szCs w:val="28"/>
        </w:rPr>
        <w:t xml:space="preserve">10. Data Processing Pipeline</w:t>
      </w:r>
      <w:bookmarkEnd w:id="100049"/>
    </w:p>
    <w:p>
      <w:pPr>
        <w:pStyle w:val="Heading3"/>
        <w:spacing w:after="120" w:before="280"/>
      </w:pPr>
      <w:bookmarkStart w:id="100050" w:name="_Toc100050"/>
      <w:r>
        <w:rPr>
          <w:rFonts w:ascii="Times New Roman" w:eastAsia="SimHei"/>
          <w:b/>
          <w:bCs/>
          <w:color w:val="162032"/>
          <w:sz w:val="24"/>
          <w:szCs w:val="24"/>
        </w:rPr>
        <w:t xml:space="preserve">10.1 Pipeline Stages</w:t>
      </w:r>
      <w:bookmarkEnd w:id="100050"/>
    </w:p>
    <w:p>
      <w:pPr>
        <w:spacing w:after="120" w:line="312"/>
        <w:jc w:val="both"/>
      </w:pPr>
      <w:r>
        <w:rPr>
          <w:rFonts w:ascii="Times New Roman" w:eastAsia="SimSun"/>
          <w:color w:val="000000"/>
          <w:sz w:val="24"/>
          <w:szCs w:val="24"/>
        </w:rPr>
        <w:t xml:space="preserve">(1) Download and Archive: Raw data download from APIs with version control. (2) Coregistration: Reproject to common CRS per region. (3) Cloud/Quality Filtering: Apply SCL for S2, CFMask for Landsat; threshold &lt;20% cloud in 5-day composite. (4) 5-day Compositing: Median composite within windows; valid-pixel count recorded. (5) Index Computation: NDVI, EVI, NDWI, LAI, FAPAR computed. (6) Temporal Alignment: All sources aligned to common 5-day time axis. (7) Multi-Resolution Stacking: Data organized by resolution tier. (8) Quality Flag Generation: Per-pixel per-time-step quality flags. (9) Normalization: Per-variable normalization using training-period statistics only. (10) Split Assignment: Each pixel-time-step assigned to train/val/test.</w:t>
      </w:r>
    </w:p>
    <w:p>
      <w:pPr>
        <w:pStyle w:val="Heading3"/>
        <w:spacing w:after="120" w:before="280"/>
      </w:pPr>
      <w:bookmarkStart w:id="100051" w:name="_Toc100051"/>
      <w:r>
        <w:rPr>
          <w:rFonts w:ascii="Times New Roman" w:eastAsia="SimHei"/>
          <w:b/>
          <w:bCs/>
          <w:color w:val="162032"/>
          <w:sz w:val="24"/>
          <w:szCs w:val="24"/>
        </w:rPr>
        <w:t xml:space="preserve">10.2 Cloud Contamination Protocol</w:t>
      </w:r>
      <w:bookmarkEnd w:id="10005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Scenario</w:t>
            </w:r>
          </w:p>
        </w:tc>
        <w:tc>
          <w:tcPr>
            <w:tcW w:type="pct" w:w="6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Strategy</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&lt;20% cloud in 5-day composite</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Use optical data directly</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20-80% cloud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Flag as partially cloud-contaminated; use with quality weight</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&gt;80% cloud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Fall back to SAR/HLS/monthly composite; flag as gap-filled</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Persistent cloud (&gt;3 consecutive composites)</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Use monthly aggregation; report as cloud-gap event</w:t>
            </w:r>
          </w:p>
        </w:tc>
      </w:tr>
      <w:tr>
        <w:trPr>
          <w:cantSplit/>
        </w:trPr>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Tropical/monsoon chronic cloud</w:t>
            </w:r>
          </w:p>
        </w:tc>
        <w:tc>
          <w:tcPr>
            <w:tcW w:type="pct" w:w="6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Use SAR as primary; optical as secondary</w:t>
            </w:r>
          </w:p>
        </w:tc>
      </w:tr>
    </w:tbl>
    <w:p>
      <w:pPr>
        <w:pStyle w:val="Heading2"/>
        <w:spacing w:after="160" w:before="360"/>
      </w:pPr>
      <w:bookmarkStart w:id="100052" w:name="_Toc100052"/>
      <w:r>
        <w:rPr>
          <w:rFonts w:ascii="Times New Roman" w:eastAsia="SimHei"/>
          <w:b/>
          <w:bCs/>
          <w:color w:val="162032"/>
          <w:sz w:val="28"/>
          <w:szCs w:val="28"/>
        </w:rPr>
        <w:t xml:space="preserve">11. Storage and Compute Estimates</w:t>
      </w:r>
      <w:bookmarkEnd w:id="100052"/>
    </w:p>
    <w:p>
      <w:pPr>
        <w:pStyle w:val="Heading3"/>
        <w:spacing w:after="120" w:before="280"/>
      </w:pPr>
      <w:bookmarkStart w:id="100053" w:name="_Toc100053"/>
      <w:r>
        <w:rPr>
          <w:rFonts w:ascii="Times New Roman" w:eastAsia="SimHei"/>
          <w:b/>
          <w:bCs/>
          <w:color w:val="162032"/>
          <w:sz w:val="24"/>
          <w:szCs w:val="24"/>
        </w:rPr>
        <w:t xml:space="preserve">11.1 Storage Estimates</w:t>
      </w:r>
      <w:bookmarkEnd w:id="10005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Data Category</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Per Region (7 years)</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3 Regions Total</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 TB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~6 TB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HLS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~500 GB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~1.5 TB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 climate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~50 GB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~150 GB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CHIRPS precipitation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 GB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 GB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 (static)</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 GB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~60 GB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SMAP soil moisture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 GB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~90 GB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masks/calendars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 GB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~15 GB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Yield labels and auxiliary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 GB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 GB</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Processed datacubes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 TB</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 TB</w:t>
            </w:r>
          </w:p>
        </w:tc>
      </w:tr>
      <w:tr>
        <w:trPr>
          <w:cantSplit/>
        </w:trPr>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Total</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~3.6 TB</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~10.8 TB</w:t>
            </w:r>
          </w:p>
        </w:tc>
      </w:tr>
    </w:tbl>
    <w:p>
      <w:pPr>
        <w:pStyle w:val="Heading3"/>
        <w:spacing w:after="120" w:before="280"/>
      </w:pPr>
      <w:bookmarkStart w:id="100054" w:name="_Toc100054"/>
      <w:r>
        <w:rPr>
          <w:rFonts w:ascii="Times New Roman" w:eastAsia="SimHei"/>
          <w:b/>
          <w:bCs/>
          <w:color w:val="162032"/>
          <w:sz w:val="24"/>
          <w:szCs w:val="24"/>
        </w:rPr>
        <w:t xml:space="preserve">11.2 Compute Estimates</w:t>
      </w:r>
      <w:bookmarkEnd w:id="10005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Task</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Estimated GPU-Hours</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Hardware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Datacube preprocessing</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200-500 CPU-hours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Multi-core CPU</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Baseline training (RF/XGBoost)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50-100 CPU-hours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CPU</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Baseline training (LSTM/TCN)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100-300 GPU-hours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1×A100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 pretraining (MAE/future)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1,000-3,000 GPU-hours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4-8×A100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Full model training</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3,000-8,000 GPU-hours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8×A100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experiments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500-1,000 GPU-hours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4-8×A100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Ablation experiments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1,000-2,000 GPU-hours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4-8×A100</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Transfer/robustness eval</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500-1,000 GPU-hours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4-8×A100</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Total estimated</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6,000-15,000 GPU-hours</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8×A100 (80GB)</w:t>
            </w:r>
          </w:p>
        </w:tc>
      </w:tr>
    </w:tbl>
    <w:p>
      <w:pPr>
        <w:pStyle w:val="Heading3"/>
        <w:spacing w:after="120" w:before="280"/>
      </w:pPr>
      <w:bookmarkStart w:id="100055" w:name="_Toc100055"/>
      <w:r>
        <w:rPr>
          <w:rFonts w:ascii="Times New Roman" w:eastAsia="SimHei"/>
          <w:b/>
          <w:bCs/>
          <w:color w:val="162032"/>
          <w:sz w:val="24"/>
          <w:szCs w:val="24"/>
        </w:rPr>
        <w:t xml:space="preserve">11.3 Reproducibility Requirements</w:t>
      </w:r>
      <w:bookmarkEnd w:id="10005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Requirement</w:t>
            </w:r>
          </w:p>
        </w:tc>
        <w:tc>
          <w:tcPr>
            <w:tcW w:type="pct" w:w="7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Random seeds</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Fixed seeds for all experiments; logged in config files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Software versions</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PyTorch, TorchGeo, xarray, rasterio versions frozen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Data download scripts</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Version-controlled scripts with product IDs and dates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Train/val/test split files</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Committed BEFORE any model training</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Model config files</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YAML/JSON for every experiment</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Experiment tracking</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Weights &amp; Biases or MLflow for all runs</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Preprocessing pipeline</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Fit on training data only; saved transformers applied to val/test</w:t>
            </w:r>
          </w:p>
        </w:tc>
      </w:tr>
    </w:tbl>
    <w:p>
      <w:pPr>
        <w:pStyle w:val="Heading1"/>
        <w:spacing w:after="200" w:before="480"/>
      </w:pPr>
      <w:bookmarkStart w:id="100056" w:name="_Toc100056"/>
      <w:r>
        <w:rPr>
          <w:rFonts w:ascii="Times New Roman" w:eastAsia="SimHei"/>
          <w:b/>
          <w:bCs/>
          <w:color w:val="162032"/>
          <w:sz w:val="32"/>
          <w:szCs w:val="32"/>
        </w:rPr>
        <w:t xml:space="preserve">Part IV: Self-Supervised Learning</w:t>
      </w:r>
      <w:bookmarkEnd w:id="100056"/>
    </w:p>
    <w:p>
      <w:pPr>
        <w:pStyle w:val="Heading2"/>
        <w:spacing w:after="160" w:before="360"/>
      </w:pPr>
      <w:bookmarkStart w:id="100057" w:name="_Toc100057"/>
      <w:r>
        <w:rPr>
          <w:rFonts w:ascii="Times New Roman" w:eastAsia="SimHei"/>
          <w:b/>
          <w:bCs/>
          <w:color w:val="162032"/>
          <w:sz w:val="28"/>
          <w:szCs w:val="28"/>
        </w:rPr>
        <w:t xml:space="preserve">12. SSL Objective Specifications</w:t>
      </w:r>
      <w:bookmarkEnd w:id="100057"/>
    </w:p>
    <w:p>
      <w:pPr>
        <w:pStyle w:val="Heading3"/>
        <w:spacing w:after="120" w:before="280"/>
      </w:pPr>
      <w:bookmarkStart w:id="100058" w:name="_Toc100058"/>
      <w:r>
        <w:rPr>
          <w:rFonts w:ascii="Times New Roman" w:eastAsia="SimHei"/>
          <w:b/>
          <w:bCs/>
          <w:color w:val="162032"/>
          <w:sz w:val="24"/>
          <w:szCs w:val="24"/>
        </w:rPr>
        <w:t xml:space="preserve">12.1 SSL Objective Sequence</w:t>
      </w:r>
      <w:bookmarkEnd w:id="10005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Stage</w:t>
            </w:r>
          </w:p>
        </w:tc>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Objective ID</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Objective</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24%"/>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Activation</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SSL-1</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L_ssl_1</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Masked Spatiotemporal Reconstruction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basic EO representations</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Phase 1 (Warm-up)</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SSL-2</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L_ssl_2</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Cross-Modal Masked Prediction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weather-soil-vegetation relationships</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Phase 2 (Fusion)</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SSL-3</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L_ssl_3</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Future Vegetation Trajectory Prediction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temporal ecosystem dynamics</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Phase 2-3</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SSL-4</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L_ssl_4</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Phenology Pseudo-Transition Prediction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crop-stage timing</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Phase 3 (Process)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SSL-5</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L_ssl_5</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 Stress Trajectory Prediction</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drought response dynamics</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Phase 3 (Process)</w:t>
            </w:r>
          </w:p>
        </w:tc>
      </w:tr>
      <w:tr>
        <w:trPr>
          <w:cantSplit/>
        </w:trPr>
        <w:tc>
          <w:tcPr>
            <w:tcW w:type="pct" w:w="1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Scenario-1</w:t>
            </w:r>
          </w:p>
        </w:tc>
        <w:tc>
          <w:tcPr>
            <w:tcW w:type="pct" w:w="1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L_scenario</w:t>
            </w:r>
          </w:p>
        </w:tc>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Physics-Constrained Scenario Augmentation</w:t>
            </w:r>
          </w:p>
        </w:tc>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Scenario consistency regularization</w:t>
            </w:r>
          </w:p>
        </w:tc>
        <w:tc>
          <w:tcPr>
            <w:tcW w:type="pct" w:w="24%"/>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Phase 5 (Post-physics)</w:t>
            </w:r>
          </w:p>
        </w:tc>
      </w:tr>
    </w:tbl>
    <w:p>
      <w:pPr>
        <w:pStyle w:val="Heading3"/>
        <w:spacing w:after="120" w:before="280"/>
      </w:pPr>
      <w:bookmarkStart w:id="100059" w:name="_Toc100059"/>
      <w:r>
        <w:rPr>
          <w:rFonts w:ascii="Times New Roman" w:eastAsia="SimHei"/>
          <w:b/>
          <w:bCs/>
          <w:color w:val="162032"/>
          <w:sz w:val="24"/>
          <w:szCs w:val="24"/>
        </w:rPr>
        <w:t xml:space="preserve">12.2 Detailed Objective Descriptions</w:t>
      </w:r>
      <w:bookmarkEnd w:id="100059"/>
    </w:p>
    <w:p>
      <w:pPr>
        <w:spacing w:after="120" w:line="312"/>
        <w:jc w:val="both"/>
      </w:pPr>
      <w:r>
        <w:rPr>
          <w:rFonts w:ascii="Times New Roman" w:eastAsia="SimSun"/>
          <w:b/>
          <w:bCs/>
          <w:color w:val="000000"/>
          <w:sz w:val="24"/>
          <w:szCs w:val="24"/>
        </w:rPr>
        <w:t xml:space="preserve">SSL-1: Masked Spatiotemporal Reconstruction</w:t>
      </w:r>
    </w:p>
    <w:p>
      <w:pPr>
        <w:spacing w:after="120" w:line="312"/>
        <w:jc w:val="both"/>
      </w:pPr>
      <w:r>
        <w:rPr>
          <w:rFonts w:ascii="Times New Roman" w:eastAsia="SimSun"/>
          <w:color w:val="000000"/>
          <w:sz w:val="24"/>
          <w:szCs w:val="24"/>
        </w:rPr>
        <w:t xml:space="preserve">Objective: Randomly mask patches in satellite imagery (both spatially and temporally) and train the model to reconstruct the masked regions. Masking strategy: 75% spatial patches masked per time step (following MAE), 20% of time steps fully masked, combined random spatial-temporal masking with varying ratios. Loss: L1 reconstruction loss on masked patches only. Rationale: This foundational SSL objective learns spatial and temporal structure in satellite imagery. High masking ratio forces meaningful representations rather than simple interpolation.</w:t>
      </w:r>
    </w:p>
    <w:p>
      <w:pPr>
        <w:spacing w:after="120" w:line="312"/>
        <w:jc w:val="both"/>
      </w:pPr>
      <w:r>
        <w:rPr>
          <w:rFonts w:ascii="Times New Roman" w:eastAsia="SimSun"/>
          <w:b/>
          <w:bCs/>
          <w:color w:val="000000"/>
          <w:sz w:val="24"/>
          <w:szCs w:val="24"/>
        </w:rPr>
        <w:t xml:space="preserve">SSL-2: Cross-Modal Masked Prediction</w:t>
      </w:r>
    </w:p>
    <w:p>
      <w:pPr>
        <w:spacing w:after="120" w:line="312"/>
        <w:jc w:val="both"/>
      </w:pPr>
      <w:r>
        <w:rPr>
          <w:rFonts w:ascii="Times New Roman" w:eastAsia="SimSun"/>
          <w:color w:val="000000"/>
          <w:sz w:val="24"/>
          <w:szCs w:val="24"/>
        </w:rPr>
        <w:t xml:space="preserve">Objective: Mask one modality and predict it from remaining modalities. Implementation includes Weather → Satellite prediction (predict NDVI/EVI from weather + soil + crop calendar), Satellite → Weather prediction, and Soil → Vegetation prediction. Loss: L2 prediction loss on masked modality tokens. Rationale: Cross-modal prediction forces the model to learn relationships between climate forcing, soil conditions, and vegetation response, directly aligned with learning the causal process chain.</w:t>
      </w:r>
    </w:p>
    <w:p>
      <w:pPr>
        <w:spacing w:after="120" w:line="312"/>
        <w:jc w:val="both"/>
      </w:pPr>
      <w:r>
        <w:rPr>
          <w:rFonts w:ascii="Times New Roman" w:eastAsia="SimSun"/>
          <w:b/>
          <w:bCs/>
          <w:color w:val="000000"/>
          <w:sz w:val="24"/>
          <w:szCs w:val="24"/>
        </w:rPr>
        <w:t xml:space="preserve">SSL-3: Future Vegetation Trajectory Prediction</w:t>
      </w:r>
    </w:p>
    <w:p>
      <w:pPr>
        <w:spacing w:after="120" w:line="312"/>
        <w:jc w:val="both"/>
      </w:pPr>
      <w:r>
        <w:rPr>
          <w:rFonts w:ascii="Times New Roman" w:eastAsia="SimSun"/>
          <w:color w:val="000000"/>
          <w:sz w:val="24"/>
          <w:szCs w:val="24"/>
        </w:rPr>
        <w:t xml:space="preserve">Objective: Given vegetation state up to time t, predict the vegetation trajectory from t+1 to t+K (K=3-6 five-day steps ahead). Input: Satellite + weather + soil up to time t. Target: NDVI/EVI values for t+1 through t+K. Loss: Weighted L2 trajectory loss with increasing weight for near-future predictions. Rationale: Teaches temporal dynamics — the model must understand how vegetation evolves under current conditions to predict its future trajectory, essential for drought forecasting and phenology prediction.</w:t>
      </w:r>
    </w:p>
    <w:p>
      <w:pPr>
        <w:spacing w:after="120" w:line="312"/>
        <w:jc w:val="both"/>
      </w:pPr>
      <w:r>
        <w:rPr>
          <w:rFonts w:ascii="Times New Roman" w:eastAsia="SimSun"/>
          <w:b/>
          <w:bCs/>
          <w:color w:val="000000"/>
          <w:sz w:val="24"/>
          <w:szCs w:val="24"/>
        </w:rPr>
        <w:t xml:space="preserve">SSL-4: Phenology Pseudo-Transition Prediction</w:t>
      </w:r>
    </w:p>
    <w:p>
      <w:pPr>
        <w:spacing w:after="120" w:line="312"/>
        <w:jc w:val="both"/>
      </w:pPr>
      <w:r>
        <w:rPr>
          <w:rFonts w:ascii="Times New Roman" w:eastAsia="SimSun"/>
          <w:color w:val="000000"/>
          <w:sz w:val="24"/>
          <w:szCs w:val="24"/>
        </w:rPr>
        <w:t xml:space="preserve">Objective: Predict whether a phenology transition will occur within the next K time steps, and identify the transition type. Target: Phenology transition labels derived from NDVI/EVI derivative analysis (green-up onset, peak, senescence onset, etc.). Label quality: These are pseudo-labels, NOT ground truth. Loss: Cross-entropy for transition classification + regression for timing. Rationale: Directly teaches the model to recognize and predict phenology transitions, the key temporal events in the crop development cycle.</w:t>
      </w:r>
    </w:p>
    <w:p>
      <w:pPr>
        <w:spacing w:after="120" w:line="312"/>
        <w:jc w:val="both"/>
      </w:pPr>
      <w:r>
        <w:rPr>
          <w:rFonts w:ascii="Times New Roman" w:eastAsia="SimSun"/>
          <w:b/>
          <w:bCs/>
          <w:color w:val="000000"/>
          <w:sz w:val="24"/>
          <w:szCs w:val="24"/>
        </w:rPr>
        <w:t xml:space="preserve">SSL-5: Drought Stress Trajectory Prediction</w:t>
      </w:r>
    </w:p>
    <w:p>
      <w:pPr>
        <w:spacing w:after="120" w:line="312"/>
        <w:jc w:val="both"/>
      </w:pPr>
      <w:r>
        <w:rPr>
          <w:rFonts w:ascii="Times New Roman" w:eastAsia="SimSun"/>
          <w:color w:val="000000"/>
          <w:sz w:val="24"/>
          <w:szCs w:val="24"/>
        </w:rPr>
        <w:t xml:space="preserve">Objective: Given current multimodal state, predict the drought stress trajectory (VHI/NDVI anomaly evolution) over the next K time steps. Target: Drought index values for t+1 through t+K. Loss: L2 trajectory loss + classification loss for drought onset/severity. Rationale: Teaches the model to understand drought evolution dynamics, the core drought-modeling capability.</w:t>
      </w:r>
    </w:p>
    <w:p>
      <w:pPr>
        <w:spacing w:after="120" w:line="312"/>
        <w:jc w:val="both"/>
      </w:pPr>
      <w:r>
        <w:rPr>
          <w:rFonts w:ascii="Times New Roman" w:eastAsia="SimSun"/>
          <w:b/>
          <w:bCs/>
          <w:color w:val="000000"/>
          <w:sz w:val="24"/>
          <w:szCs w:val="24"/>
        </w:rPr>
        <w:t xml:space="preserve">Scenario-1: Physics-Constrained Scenario Augmentation (NOT strict SSL)</w:t>
      </w:r>
    </w:p>
    <w:p>
      <w:pPr>
        <w:spacing w:after="120" w:line="312"/>
        <w:jc w:val="both"/>
      </w:pPr>
      <w:r>
        <w:rPr>
          <w:rFonts w:ascii="Times New Roman" w:eastAsia="SimSun"/>
          <w:color w:val="000000"/>
          <w:sz w:val="24"/>
          <w:szCs w:val="24"/>
        </w:rPr>
        <w:t xml:space="preserve">Objective: Apply synthetic perturbations (e.g., reduce rainfall by 30%, increase temperature by 2°C) and enforce that the model's predicted response is physically consistent. Status: Reclassified from Counterfactual SSL because synthetic interventions encode designer assumptions, not real-world counterfactual behavior. It is a consistency regularization technique. Activation: Only after physics regularization is stable (Phase 5). Rationale: Enforces that the model's representations respond to environmental perturbations in a physically plausible manner.</w:t>
      </w:r>
    </w:p>
    <w:p>
      <w:pPr>
        <w:pStyle w:val="Heading2"/>
        <w:spacing w:after="160" w:before="360"/>
      </w:pPr>
      <w:bookmarkStart w:id="100060" w:name="_Toc100060"/>
      <w:r>
        <w:rPr>
          <w:rFonts w:ascii="Times New Roman" w:eastAsia="SimHei"/>
          <w:b/>
          <w:bCs/>
          <w:color w:val="162032"/>
          <w:sz w:val="28"/>
          <w:szCs w:val="28"/>
        </w:rPr>
        <w:t xml:space="preserve">13. Loss Function Specification</w:t>
      </w:r>
      <w:bookmarkEnd w:id="100060"/>
    </w:p>
    <w:p>
      <w:pPr>
        <w:pStyle w:val="Heading3"/>
        <w:spacing w:after="120" w:before="280"/>
      </w:pPr>
      <w:bookmarkStart w:id="100061" w:name="_Toc100061"/>
      <w:r>
        <w:rPr>
          <w:rFonts w:ascii="Times New Roman" w:eastAsia="SimHei"/>
          <w:b/>
          <w:bCs/>
          <w:color w:val="162032"/>
          <w:sz w:val="24"/>
          <w:szCs w:val="24"/>
        </w:rPr>
        <w:t xml:space="preserve">13.1 Total Training Loss</w:t>
      </w:r>
      <w:bookmarkEnd w:id="100061"/>
    </w:p>
    <w:p>
      <w:pPr>
        <w:spacing w:after="80" w:line="276"/>
        <w:ind w:left="480"/>
        <w:jc w:val="left"/>
      </w:pPr>
      <w:r>
        <w:rPr>
          <w:rFonts w:ascii="Courier New" w:eastAsia="Courier New"/>
          <w:color w:val="333333"/>
          <w:sz w:val="20"/>
          <w:szCs w:val="20"/>
        </w:rPr>
        <w:t xml:space="preserve">L_total = Σ_i α_i × L_SSL_i</w:t>
      </w:r>
    </w:p>
    <w:p>
      <w:pPr>
        <w:spacing w:after="80" w:line="276"/>
        <w:ind w:left="480"/>
        <w:jc w:val="left"/>
      </w:pPr>
      <w:r>
        <w:rPr>
          <w:rFonts w:ascii="Courier New" w:eastAsia="Courier New"/>
          <w:color w:val="333333"/>
          <w:sz w:val="20"/>
          <w:szCs w:val="20"/>
        </w:rPr>
        <w:t xml:space="preserve">       + λ_water(t) × L_water</w:t>
      </w:r>
    </w:p>
    <w:p>
      <w:pPr>
        <w:spacing w:after="80" w:line="276"/>
        <w:ind w:left="480"/>
        <w:jc w:val="left"/>
      </w:pPr>
      <w:r>
        <w:rPr>
          <w:rFonts w:ascii="Courier New" w:eastAsia="Courier New"/>
          <w:color w:val="333333"/>
          <w:sz w:val="20"/>
          <w:szCs w:val="20"/>
        </w:rPr>
        <w:t xml:space="preserve">       + λ_growth(t) × L_growth</w:t>
      </w:r>
    </w:p>
    <w:p>
      <w:pPr>
        <w:spacing w:after="80" w:line="276"/>
        <w:ind w:left="480"/>
        <w:jc w:val="left"/>
      </w:pPr>
      <w:r>
        <w:rPr>
          <w:rFonts w:ascii="Courier New" w:eastAsia="Courier New"/>
          <w:color w:val="333333"/>
          <w:sz w:val="20"/>
          <w:szCs w:val="20"/>
        </w:rPr>
        <w:t xml:space="preserve">       + λ_causal(t) × L_temporal_DAG</w:t>
      </w:r>
    </w:p>
    <w:p>
      <w:pPr>
        <w:spacing w:after="80" w:line="276"/>
        <w:ind w:left="480"/>
        <w:jc w:val="left"/>
      </w:pPr>
      <w:r>
        <w:rPr>
          <w:rFonts w:ascii="Courier New" w:eastAsia="Courier New"/>
          <w:color w:val="333333"/>
          <w:sz w:val="20"/>
          <w:szCs w:val="20"/>
        </w:rPr>
        <w:t xml:space="preserve">       + λ_calib × L_calibration</w:t>
      </w:r>
    </w:p>
    <w:p>
      <w:pPr>
        <w:pStyle w:val="Heading3"/>
        <w:spacing w:after="120" w:before="280"/>
      </w:pPr>
      <w:bookmarkStart w:id="100062" w:name="_Toc100062"/>
      <w:r>
        <w:rPr>
          <w:rFonts w:ascii="Times New Roman" w:eastAsia="SimHei"/>
          <w:b/>
          <w:bCs/>
          <w:color w:val="162032"/>
          <w:sz w:val="24"/>
          <w:szCs w:val="24"/>
        </w:rPr>
        <w:t xml:space="preserve">13.2 SSL Objective Weight Ranges</w:t>
      </w:r>
      <w:bookmarkEnd w:id="10006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Weight</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Initial Value</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Range</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Schedule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α_1 (Reconstruction)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0.5-2.0</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 initially, decrease as other objectives activate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α_2 (Cross-Modal)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0.5</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0.3-1.0</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Start at 0, ramp to 0.5 in Phase 2</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α_3 (Future Trajectory)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0.8</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0.5-1.5</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Start at 0, ramp to 0.8 in Phase 2-3</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α_4 (Phenology)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0.5</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0.3-1.0</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Start at 0, ramp to 0.5 in Phase 3</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α_5 (Drought)</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0.5</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0.3-1.0</w:t>
            </w:r>
          </w:p>
        </w:tc>
        <w:tc>
          <w:tcPr>
            <w:tcW w:type="pct" w:w="4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Start at 0, ramp to 0.5 in Phase 3</w:t>
            </w:r>
          </w:p>
        </w:tc>
      </w:tr>
    </w:tbl>
    <w:p>
      <w:pPr>
        <w:pStyle w:val="Heading3"/>
        <w:spacing w:after="120" w:before="280"/>
      </w:pPr>
      <w:bookmarkStart w:id="100063" w:name="_Toc100063"/>
      <w:r>
        <w:rPr>
          <w:rFonts w:ascii="Times New Roman" w:eastAsia="SimHei"/>
          <w:b/>
          <w:bCs/>
          <w:color w:val="162032"/>
          <w:sz w:val="24"/>
          <w:szCs w:val="24"/>
        </w:rPr>
        <w:t xml:space="preserve">13.3 Physics Loss Weight Warm-up Schedules</w:t>
      </w:r>
      <w:bookmarkEnd w:id="10006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Weight</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Warm-up Period</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Start Value</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Target Value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Schedule</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λ_water(t)</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 epochs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0.1</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Linear warm-up</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λ_growth(t)</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 epochs (after λ_water)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0.05</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Linear warm-up</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λ_causal(t)</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 epochs (after λ_growth)</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0.05</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Linear warm-up</w:t>
            </w:r>
          </w:p>
        </w:tc>
      </w:tr>
      <w:tr>
        <w:trPr>
          <w:cantSplit/>
        </w:trPr>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λ_calib</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No warm-up</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0.01</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0.01</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Constant</w:t>
            </w:r>
          </w:p>
        </w:tc>
      </w:tr>
    </w:tbl>
    <w:p>
      <w:pPr>
        <w:pStyle w:val="Heading3"/>
        <w:spacing w:after="120" w:before="280"/>
      </w:pPr>
      <w:bookmarkStart w:id="100064" w:name="_Toc100064"/>
      <w:r>
        <w:rPr>
          <w:rFonts w:ascii="Times New Roman" w:eastAsia="SimHei"/>
          <w:b/>
          <w:bCs/>
          <w:color w:val="162032"/>
          <w:sz w:val="24"/>
          <w:szCs w:val="24"/>
        </w:rPr>
        <w:t xml:space="preserve">13.4 Training Phase Schedule</w:t>
      </w:r>
      <w:bookmarkEnd w:id="10006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Phase</w:t>
            </w:r>
          </w:p>
        </w:tc>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Duration (approx.)</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Active Losses</w:t>
            </w:r>
          </w:p>
        </w:tc>
        <w:tc>
          <w:tcPr>
            <w:tcW w:type="pct" w:w="3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Focus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Warm-up</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Epochs 1-20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L_ssl_1 (reconstruction)</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basic EO representations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Fusion</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Epochs 21-50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L_ssl_1 + L_ssl_2 + L_ssl_3</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multimodal and temporal relationships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Epochs 51-80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 L_ssl_4 + L_ssl_5</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Learn phenology and drought dynamics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Epochs 81-100</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 λ_water × L_water + λ_growth × L_growth</w:t>
            </w:r>
          </w:p>
        </w:tc>
        <w:tc>
          <w:tcPr>
            <w:tcW w:type="pct" w:w="3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regularization</w:t>
            </w:r>
          </w:p>
        </w:tc>
      </w:tr>
      <w:tr>
        <w:trPr>
          <w:cantSplit/>
        </w:trPr>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Causal-informed</w:t>
            </w:r>
          </w:p>
        </w:tc>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Epochs 101-120</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 λ_causal × L_temporal_DAG</w:t>
            </w:r>
          </w:p>
        </w:tc>
        <w:tc>
          <w:tcPr>
            <w:tcW w:type="pct" w:w="3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Causal consistency (if gates pass)</w:t>
            </w:r>
          </w:p>
        </w:tc>
      </w:tr>
    </w:tbl>
    <w:p>
      <w:pPr>
        <w:pStyle w:val="Heading3"/>
        <w:spacing w:after="120" w:before="280"/>
      </w:pPr>
      <w:bookmarkStart w:id="100065" w:name="_Toc100065"/>
      <w:r>
        <w:rPr>
          <w:rFonts w:ascii="Times New Roman" w:eastAsia="SimHei"/>
          <w:b/>
          <w:bCs/>
          <w:color w:val="162032"/>
          <w:sz w:val="24"/>
          <w:szCs w:val="24"/>
        </w:rPr>
        <w:t xml:space="preserve">13.5 Gradient Monitoring</w:t>
      </w:r>
      <w:bookmarkEnd w:id="10006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Monitor</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Threshold</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Total gradient norm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&gt;100</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learning rate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Per-objective gradient ratio</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&gt;10:1 between any two</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Rebalance weights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Gradient cosine similarity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&lt;0 (conflicting)</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weight of conflicting objective</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Loss scale divergence</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Any loss &gt;10× initial</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Pause that objective; reduce weight</w:t>
            </w:r>
          </w:p>
        </w:tc>
      </w:tr>
    </w:tbl>
    <w:p>
      <w:pPr>
        <w:pStyle w:val="Heading2"/>
        <w:spacing w:after="160" w:before="360"/>
      </w:pPr>
      <w:bookmarkStart w:id="100066" w:name="_Toc100066"/>
      <w:r>
        <w:rPr>
          <w:rFonts w:ascii="Times New Roman" w:eastAsia="SimHei"/>
          <w:b/>
          <w:bCs/>
          <w:color w:val="162032"/>
          <w:sz w:val="28"/>
          <w:szCs w:val="28"/>
        </w:rPr>
        <w:t xml:space="preserve">14. SSL Stability Monitoring</w:t>
      </w:r>
      <w:bookmarkEnd w:id="100066"/>
    </w:p>
    <w:p>
      <w:pPr>
        <w:pStyle w:val="Heading3"/>
        <w:spacing w:after="120" w:before="280"/>
      </w:pPr>
      <w:bookmarkStart w:id="100067" w:name="_Toc100067"/>
      <w:r>
        <w:rPr>
          <w:rFonts w:ascii="Times New Roman" w:eastAsia="SimHei"/>
          <w:b/>
          <w:bCs/>
          <w:color w:val="162032"/>
          <w:sz w:val="24"/>
          <w:szCs w:val="24"/>
        </w:rPr>
        <w:t xml:space="preserve">14.1 Monitored Quantities</w:t>
      </w:r>
      <w:bookmarkEnd w:id="10006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Collapse Indicator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Embedding variance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Detect dimensional collapse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Variance → 0</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Embedding rank</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Detect rank collapse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Rank → 1</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Covariance spectrum</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Detect spectral collapse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Single dominant eigenvalue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Nearest-neighbor diversity</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Detect representation clustering</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All samples map to same centroid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Objective-specific val losses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Detect overfitting or divergence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Val loss diverges from train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Gradient norms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Detect training instability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Exploding or vanishing gradients</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Linear-probe performance</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Detect representation quality</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Probe accuracy does not improve</w:t>
            </w:r>
          </w:p>
        </w:tc>
      </w:tr>
    </w:tbl>
    <w:p>
      <w:pPr>
        <w:pStyle w:val="Heading3"/>
        <w:spacing w:after="120" w:before="280"/>
      </w:pPr>
      <w:bookmarkStart w:id="100068" w:name="_Toc100068"/>
      <w:r>
        <w:rPr>
          <w:rFonts w:ascii="Times New Roman" w:eastAsia="SimHei"/>
          <w:b/>
          <w:bCs/>
          <w:color w:val="162032"/>
          <w:sz w:val="24"/>
          <w:szCs w:val="24"/>
        </w:rPr>
        <w:t xml:space="preserve">14.2 Collapse Response Protocol</w:t>
      </w:r>
      <w:bookmarkEnd w:id="10006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Condition</w:t>
            </w:r>
          </w:p>
        </w:tc>
        <w:tc>
          <w:tcPr>
            <w:tcW w:type="pct" w:w="6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Response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Embedding variance &lt; threshold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Stop training; increase temperature; add noise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Rank collapse detected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model capacity; add spectral regularization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Single objective degrades all downstream tasks</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Remove or downweight that objective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Negative transfer between SSL tasks</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Train single-objective ablations; identify conflicting pair</w:t>
            </w:r>
          </w:p>
        </w:tc>
      </w:tr>
      <w:tr>
        <w:trPr>
          <w:cantSplit/>
        </w:trPr>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SSL provides no benefit over supervised</w:t>
            </w:r>
          </w:p>
        </w:tc>
        <w:tc>
          <w:tcPr>
            <w:tcW w:type="pct" w:w="6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Revert to supervised; report SSL as negative finding</w:t>
            </w:r>
          </w:p>
        </w:tc>
      </w:tr>
    </w:tbl>
    <w:p>
      <w:pPr>
        <w:pStyle w:val="Heading1"/>
        <w:spacing w:after="200" w:before="480"/>
      </w:pPr>
      <w:bookmarkStart w:id="100069" w:name="_Toc100069"/>
      <w:r>
        <w:rPr>
          <w:rFonts w:ascii="Times New Roman" w:eastAsia="SimHei"/>
          <w:b/>
          <w:bCs/>
          <w:color w:val="162032"/>
          <w:sz w:val="32"/>
          <w:szCs w:val="32"/>
        </w:rPr>
        <w:t xml:space="preserve">Part V: Physics Framework</w:t>
      </w:r>
      <w:bookmarkEnd w:id="100069"/>
    </w:p>
    <w:p>
      <w:pPr>
        <w:pStyle w:val="Heading2"/>
        <w:spacing w:after="160" w:before="360"/>
      </w:pPr>
      <w:bookmarkStart w:id="100070" w:name="_Toc100070"/>
      <w:r>
        <w:rPr>
          <w:rFonts w:ascii="Times New Roman" w:eastAsia="SimHei"/>
          <w:b/>
          <w:bCs/>
          <w:color w:val="162032"/>
          <w:sz w:val="28"/>
          <w:szCs w:val="28"/>
        </w:rPr>
        <w:t xml:space="preserve">15. Water-Balance Constraint</w:t>
      </w:r>
      <w:bookmarkEnd w:id="100070"/>
    </w:p>
    <w:p>
      <w:pPr>
        <w:pStyle w:val="Heading3"/>
        <w:spacing w:after="120" w:before="280"/>
      </w:pPr>
      <w:bookmarkStart w:id="100071" w:name="_Toc100071"/>
      <w:r>
        <w:rPr>
          <w:rFonts w:ascii="Times New Roman" w:eastAsia="SimHei"/>
          <w:b/>
          <w:bCs/>
          <w:color w:val="162032"/>
          <w:sz w:val="24"/>
          <w:szCs w:val="24"/>
        </w:rPr>
        <w:t xml:space="preserve">15.1 Revised Water-Balance Equation</w:t>
      </w:r>
      <w:bookmarkEnd w:id="100071"/>
    </w:p>
    <w:p>
      <w:pPr>
        <w:spacing w:after="80" w:line="276"/>
        <w:ind w:left="480"/>
        <w:jc w:val="left"/>
      </w:pPr>
      <w:r>
        <w:rPr>
          <w:rFonts w:ascii="Courier New" w:eastAsia="Courier New"/>
          <w:color w:val="333333"/>
          <w:sz w:val="20"/>
          <w:szCs w:val="20"/>
        </w:rPr>
        <w:t xml:space="preserve">ΔSM = P + I_latent - ET - R - D + 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Symbol</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Meaning</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Units</w:t>
            </w:r>
          </w:p>
        </w:tc>
        <w:tc>
          <w:tcPr>
            <w:tcW w:type="pct" w:w="43%"/>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ΔSM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Change in soil moisture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mm</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SMAP/ESA CCI (observed)</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Precipitation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mm/5-day</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ERA5/CHIRPS</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I_latent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Latent unobserved water input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mm/5-day</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Inferred by model</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Evapotranspiration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mm/5-day</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 ET0 × crop coefficient</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Runoff</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mm/5-day</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Estimated from rainfall + soil properties</w:t>
            </w:r>
          </w:p>
        </w:tc>
      </w:tr>
      <w:tr>
        <w:trPr>
          <w:cantSplit/>
        </w:trPr>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Drainage / deep percolation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mm/5-day</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Estimated from soil moisture surplus</w:t>
            </w:r>
          </w:p>
        </w:tc>
      </w:tr>
      <w:tr>
        <w:trPr>
          <w:cantSplit/>
        </w:trPr>
        <w:tc>
          <w:tcPr>
            <w:tcW w:type="pct" w:w="1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ε</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Measurement/model residual</w:t>
            </w:r>
          </w:p>
        </w:tc>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mm/5-day</w:t>
            </w:r>
          </w:p>
        </w:tc>
        <w:tc>
          <w:tcPr>
            <w:tcW w:type="pct" w:w="43%"/>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Remaining unexplained variation</w:t>
            </w:r>
          </w:p>
        </w:tc>
      </w:tr>
    </w:tbl>
    <w:p>
      <w:pPr>
        <w:pStyle w:val="Heading3"/>
        <w:spacing w:after="120" w:before="280"/>
      </w:pPr>
      <w:bookmarkStart w:id="100072" w:name="_Toc100072"/>
      <w:r>
        <w:rPr>
          <w:rFonts w:ascii="Times New Roman" w:eastAsia="SimHei"/>
          <w:b/>
          <w:bCs/>
          <w:color w:val="162032"/>
          <w:sz w:val="24"/>
          <w:szCs w:val="24"/>
        </w:rPr>
        <w:t xml:space="preserve">15.2 I_latent: Latent Residual Water-Input Inference</w:t>
      </w:r>
      <w:bookmarkEnd w:id="100072"/>
    </w:p>
    <w:p>
      <w:pPr>
        <w:spacing w:after="120" w:line="312"/>
        <w:jc w:val="both"/>
      </w:pPr>
      <w:r>
        <w:rPr>
          <w:rFonts w:ascii="Times New Roman" w:eastAsia="SimSun"/>
          <w:color w:val="000000"/>
          <w:sz w:val="24"/>
          <w:szCs w:val="24"/>
        </w:rPr>
        <w:t xml:space="preserve">I_latent is a model-inferred variable representing all unobserved water inputs that cannot be explained by measured precipitation alone. It is NOT "irrigation detection." What I_latent may capture: irrigation, groundwater contribution, capillary rise, runoff model error, rainfall data error, soil moisture retrieval error, cloud/gap-filling artifacts, and crop-rooting-depth effects. Validation: Compare residual anomalies with known irrigation maps, canal command areas, and reported irrigation districts where available. Only after validation against multiple evidence sources should I_latent be interpreted as irrigation.</w:t>
      </w:r>
    </w:p>
    <w:p>
      <w:pPr>
        <w:spacing w:after="120" w:line="312"/>
        <w:jc w:val="both"/>
      </w:pPr>
      <w:r>
        <w:rPr>
          <w:rFonts w:ascii="Times New Roman" w:eastAsia="SimSun"/>
          <w:color w:val="000000"/>
          <w:sz w:val="24"/>
          <w:szCs w:val="24"/>
        </w:rPr>
        <w:t xml:space="preserve">I_latent acceptance criteria: (1) Residual variable improves error analysis. (2) Residual variable does NOT degrade transfer performance. (3) Residual anomalies are spatially and temporally structured (not random noise). (4) Residual anomalies correlate with known irrigation districts where data available.</w:t>
      </w:r>
    </w:p>
    <w:p>
      <w:pPr>
        <w:pStyle w:val="Heading3"/>
        <w:spacing w:after="120" w:before="280"/>
      </w:pPr>
      <w:bookmarkStart w:id="100073" w:name="_Toc100073"/>
      <w:r>
        <w:rPr>
          <w:rFonts w:ascii="Times New Roman" w:eastAsia="SimHei"/>
          <w:b/>
          <w:bCs/>
          <w:color w:val="162032"/>
          <w:sz w:val="24"/>
          <w:szCs w:val="24"/>
        </w:rPr>
        <w:t xml:space="preserve">15.3 Physics Loss Design</w:t>
      </w:r>
      <w:bookmarkEnd w:id="100073"/>
    </w:p>
    <w:p>
      <w:pPr>
        <w:spacing w:after="80" w:line="276"/>
        <w:ind w:left="480"/>
        <w:jc w:val="left"/>
      </w:pPr>
      <w:r>
        <w:rPr>
          <w:rFonts w:ascii="Courier New" w:eastAsia="Courier New"/>
          <w:color w:val="333333"/>
          <w:sz w:val="20"/>
          <w:szCs w:val="20"/>
        </w:rPr>
        <w:t xml:space="preserve">L_water = w_data × ||ΔSM_pred - (P + I_latent - ET - R - D)||²</w:t>
      </w:r>
    </w:p>
    <w:p>
      <w:pPr>
        <w:spacing w:after="120" w:line="312"/>
        <w:jc w:val="both"/>
      </w:pPr>
      <w:r>
        <w:rPr>
          <w:rFonts w:ascii="Times New Roman" w:eastAsia="SimSun"/>
          <w:color w:val="000000"/>
          <w:sz w:val="24"/>
          <w:szCs w:val="24"/>
        </w:rPr>
        <w:t xml:space="preserve">Where w_data is an uncertainty weight that is higher when data quality is good, lower when data quality is poor, and zero when data is entirely missing. The model predicts ΔSM_pred and I_latent jointly.</w:t>
      </w:r>
    </w:p>
    <w:p>
      <w:pPr>
        <w:pStyle w:val="Heading3"/>
        <w:spacing w:after="120" w:before="280"/>
      </w:pPr>
      <w:bookmarkStart w:id="100074" w:name="_Toc100074"/>
      <w:r>
        <w:rPr>
          <w:rFonts w:ascii="Times New Roman" w:eastAsia="SimHei"/>
          <w:b/>
          <w:bCs/>
          <w:color w:val="162032"/>
          <w:sz w:val="24"/>
          <w:szCs w:val="24"/>
        </w:rPr>
        <w:t xml:space="preserve">15.4 Scale Considerations for Water Balance</w:t>
      </w:r>
      <w:bookmarkEnd w:id="100074"/>
    </w:p>
    <w:p>
      <w:pPr>
        <w:spacing w:after="120" w:line="312"/>
        <w:jc w:val="both"/>
      </w:pPr>
      <w:r>
        <w:rPr>
          <w:rFonts w:ascii="Times New Roman" w:eastAsia="SimSun"/>
          <w:color w:val="000000"/>
          <w:sz w:val="24"/>
          <w:szCs w:val="24"/>
        </w:rPr>
        <w:t xml:space="preserve">The water-balance equation is most valid at the scale at which its components are measured. At 10m, rainfall, ET, and soil moisture products are too coarse to close the water balance reliably. The physics loss should be computed at the coarsest-resolution tier (1-10km) or at the natural aggregation scale of the dominant forcing data. Fine-resolution predictions are evaluated for task performance but are not directly constrained by pixel-level water balance.</w:t>
      </w:r>
    </w:p>
    <w:p>
      <w:pPr>
        <w:pStyle w:val="Heading2"/>
        <w:spacing w:after="160" w:before="360"/>
      </w:pPr>
      <w:bookmarkStart w:id="100075" w:name="_Toc100075"/>
      <w:r>
        <w:rPr>
          <w:rFonts w:ascii="Times New Roman" w:eastAsia="SimHei"/>
          <w:b/>
          <w:bCs/>
          <w:color w:val="162032"/>
          <w:sz w:val="28"/>
          <w:szCs w:val="28"/>
        </w:rPr>
        <w:t xml:space="preserve">16. Plant-Growth Constraint</w:t>
      </w:r>
      <w:bookmarkEnd w:id="100075"/>
    </w:p>
    <w:p>
      <w:pPr>
        <w:pStyle w:val="Heading3"/>
        <w:spacing w:after="120" w:before="280"/>
      </w:pPr>
      <w:bookmarkStart w:id="100076" w:name="_Toc100076"/>
      <w:r>
        <w:rPr>
          <w:rFonts w:ascii="Times New Roman" w:eastAsia="SimHei"/>
          <w:b/>
          <w:bCs/>
          <w:color w:val="162032"/>
          <w:sz w:val="24"/>
          <w:szCs w:val="24"/>
        </w:rPr>
        <w:t xml:space="preserve">16.1 Growing Degree Days Accumulation</w:t>
      </w:r>
      <w:bookmarkEnd w:id="100076"/>
    </w:p>
    <w:p>
      <w:pPr>
        <w:spacing w:after="80" w:line="276"/>
        <w:ind w:left="480"/>
        <w:jc w:val="left"/>
      </w:pPr>
      <w:r>
        <w:rPr>
          <w:rFonts w:ascii="Courier New" w:eastAsia="Courier New"/>
          <w:color w:val="333333"/>
          <w:sz w:val="20"/>
          <w:szCs w:val="20"/>
        </w:rPr>
        <w:t xml:space="preserve">GDD_t = max(0, T_mean_t - T_base)</w:t>
      </w:r>
    </w:p>
    <w:p>
      <w:pPr>
        <w:spacing w:after="80" w:line="276"/>
        <w:ind w:left="480"/>
        <w:jc w:val="left"/>
      </w:pPr>
      <w:r>
        <w:rPr>
          <w:rFonts w:ascii="Courier New" w:eastAsia="Courier New"/>
          <w:color w:val="333333"/>
          <w:sz w:val="20"/>
          <w:szCs w:val="20"/>
        </w:rPr>
        <w:t xml:space="preserve">AGDD_t = Σ GDD_τ for τ from planting date to 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Parameter</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Wheat</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Maize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T_base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0°C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10°C</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T_upper (optional)</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30°C</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Typical AGDD to maturity</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1500-2000 °C·day</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1200-1800 °C·day</w:t>
            </w:r>
          </w:p>
        </w:tc>
      </w:tr>
    </w:tbl>
    <w:p>
      <w:pPr>
        <w:pStyle w:val="Heading3"/>
        <w:spacing w:after="120" w:before="280"/>
      </w:pPr>
      <w:bookmarkStart w:id="100077" w:name="_Toc100077"/>
      <w:r>
        <w:rPr>
          <w:rFonts w:ascii="Times New Roman" w:eastAsia="SimHei"/>
          <w:b/>
          <w:bCs/>
          <w:color w:val="162032"/>
          <w:sz w:val="24"/>
          <w:szCs w:val="24"/>
        </w:rPr>
        <w:t xml:space="preserve">16.2 Growth Constraint Formulation</w:t>
      </w:r>
      <w:bookmarkEnd w:id="100077"/>
    </w:p>
    <w:p>
      <w:pPr>
        <w:spacing w:after="80" w:line="276"/>
        <w:ind w:left="480"/>
        <w:jc w:val="left"/>
      </w:pPr>
      <w:r>
        <w:rPr>
          <w:rFonts w:ascii="Courier New" w:eastAsia="Courier New"/>
          <w:color w:val="333333"/>
          <w:sz w:val="20"/>
          <w:szCs w:val="20"/>
        </w:rPr>
        <w:t xml:space="preserve">L_growth = w_growth × (</w:t>
      </w:r>
    </w:p>
    <w:p>
      <w:pPr>
        <w:spacing w:after="80" w:line="276"/>
        <w:ind w:left="480"/>
        <w:jc w:val="left"/>
      </w:pPr>
      <w:r>
        <w:rPr>
          <w:rFonts w:ascii="Courier New" w:eastAsia="Courier New"/>
          <w:color w:val="333333"/>
          <w:sz w:val="20"/>
          <w:szCs w:val="20"/>
        </w:rPr>
        <w:t xml:space="preserve">  ||predicted_VHI - f(AGDD, water_availability)||²</w:t>
      </w:r>
    </w:p>
    <w:p>
      <w:pPr>
        <w:spacing w:after="80" w:line="276"/>
        <w:ind w:left="480"/>
        <w:jc w:val="left"/>
      </w:pPr>
      <w:r>
        <w:rPr>
          <w:rFonts w:ascii="Courier New" w:eastAsia="Courier New"/>
          <w:color w:val="333333"/>
          <w:sz w:val="20"/>
          <w:szCs w:val="20"/>
        </w:rPr>
        <w:t xml:space="preserve">  + ||predicted_phenology_stage - g(AGDD, stress_accumulation)||²</w:t>
      </w:r>
    </w:p>
    <w:p>
      <w:pPr>
        <w:spacing w:after="80" w:line="276"/>
        <w:ind w:left="480"/>
        <w:jc w:val="left"/>
      </w:pPr>
      <w:r>
        <w:rPr>
          <w:rFonts w:ascii="Courier New" w:eastAsia="Courier New"/>
          <w:color w:val="333333"/>
          <w:sz w:val="20"/>
          <w:szCs w:val="20"/>
        </w:rPr>
        <w:t xml:space="preserve">)</w:t>
      </w:r>
    </w:p>
    <w:p>
      <w:pPr>
        <w:spacing w:after="120" w:line="312"/>
        <w:jc w:val="both"/>
      </w:pPr>
      <w:r>
        <w:rPr>
          <w:rFonts w:ascii="Times New Roman" w:eastAsia="SimSun"/>
          <w:color w:val="000000"/>
          <w:sz w:val="24"/>
          <w:szCs w:val="24"/>
        </w:rPr>
        <w:t xml:space="preserve">Where f(AGDD, water_availability) is a simplified Mitscherlich-Baule growth response function, and g(AGDD, stress_accumulation) enforces that phenology cannot advance without sufficient accumulated thermal time. Stress accumulation can delay phenology but cannot advance it beyond thermal time limits.</w:t>
      </w:r>
    </w:p>
    <w:p>
      <w:pPr>
        <w:pStyle w:val="Heading3"/>
        <w:spacing w:after="120" w:before="280"/>
      </w:pPr>
      <w:bookmarkStart w:id="100078" w:name="_Toc100078"/>
      <w:r>
        <w:rPr>
          <w:rFonts w:ascii="Times New Roman" w:eastAsia="SimHei"/>
          <w:b/>
          <w:bCs/>
          <w:color w:val="162032"/>
          <w:sz w:val="24"/>
          <w:szCs w:val="24"/>
        </w:rPr>
        <w:t xml:space="preserve">16.3 Plant Growth Validation Metrics</w:t>
      </w:r>
      <w:bookmarkEnd w:id="10007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Acceptance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Impossible-state rate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 predictions violating basic physical logic</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 of predictions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Phenology-AGDD consistency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Phenology predictions consistent with accumulated GDD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Correlation &gt;0.9</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Stress-under-deficit check</w:t>
            </w:r>
          </w:p>
        </w:tc>
        <w:tc>
          <w:tcPr>
            <w:tcW w:type="pct" w:w="4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Healthy growth not predicted under severe deficit without I_latent</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Flag violations; document</w:t>
            </w:r>
          </w:p>
        </w:tc>
      </w:tr>
    </w:tbl>
    <w:p>
      <w:pPr>
        <w:pStyle w:val="Heading2"/>
        <w:spacing w:after="160" w:before="360"/>
      </w:pPr>
      <w:bookmarkStart w:id="100079" w:name="_Toc100079"/>
      <w:r>
        <w:rPr>
          <w:rFonts w:ascii="Times New Roman" w:eastAsia="SimHei"/>
          <w:b/>
          <w:bCs/>
          <w:color w:val="162032"/>
          <w:sz w:val="28"/>
          <w:szCs w:val="28"/>
        </w:rPr>
        <w:t xml:space="preserve">17. Physics Acceptance Criteria</w:t>
      </w:r>
      <w:bookmarkEnd w:id="100079"/>
    </w:p>
    <w:p>
      <w:pPr>
        <w:spacing w:after="120" w:line="312"/>
        <w:jc w:val="both"/>
      </w:pPr>
      <w:r>
        <w:rPr>
          <w:rFonts w:ascii="Times New Roman" w:eastAsia="SimSun"/>
          <w:color w:val="000000"/>
          <w:sz w:val="24"/>
          <w:szCs w:val="24"/>
        </w:rPr>
        <w:t xml:space="preserve">The physics-regularized model is accepted ONLY if ALL of the following conditions are met: (1) Water-balance residual RMSE decreases by ≥15% relative to the non-physics model. (2) Primary task metrics do not degrade by more than 3% relative. (3) Out-of-region performance does not degrade with physics. (4) Residuals are interpretable and not random noise; they correlate with known irrigation districts where data available.</w:t>
      </w:r>
    </w:p>
    <w:p>
      <w:pPr>
        <w:spacing w:after="120" w:line="312"/>
        <w:jc w:val="both"/>
      </w:pPr>
      <w:r>
        <w:rPr>
          <w:rFonts w:ascii="Times New Roman" w:eastAsia="SimSun"/>
          <w:color w:val="000000"/>
          <w:sz w:val="24"/>
          <w:szCs w:val="24"/>
        </w:rPr>
        <w:t xml:space="preserve">Fallback path: If physics fails acceptance criteria, physics will be reported as a diagnostic analysis rather than a core model contribution. The paper will document the physics experiment as a negative or inconclusive finding.</w:t>
      </w:r>
    </w:p>
    <w:p>
      <w:pPr>
        <w:pStyle w:val="Heading1"/>
        <w:spacing w:after="200" w:before="480"/>
      </w:pPr>
      <w:bookmarkStart w:id="100080" w:name="_Toc100080"/>
      <w:r>
        <w:rPr>
          <w:rFonts w:ascii="Times New Roman" w:eastAsia="SimHei"/>
          <w:b/>
          <w:bCs/>
          <w:color w:val="162032"/>
          <w:sz w:val="32"/>
          <w:szCs w:val="32"/>
        </w:rPr>
        <w:t xml:space="preserve">Part VI: Causal Framework</w:t>
      </w:r>
      <w:bookmarkEnd w:id="100080"/>
    </w:p>
    <w:p>
      <w:pPr>
        <w:pStyle w:val="Heading2"/>
        <w:spacing w:after="160" w:before="360"/>
      </w:pPr>
      <w:bookmarkStart w:id="100081" w:name="_Toc100081"/>
      <w:r>
        <w:rPr>
          <w:rFonts w:ascii="Times New Roman" w:eastAsia="SimHei"/>
          <w:b/>
          <w:bCs/>
          <w:color w:val="162032"/>
          <w:sz w:val="28"/>
          <w:szCs w:val="28"/>
        </w:rPr>
        <w:t xml:space="preserve">18. Temporal DAG Specification</w:t>
      </w:r>
      <w:bookmarkEnd w:id="100081"/>
    </w:p>
    <w:p>
      <w:pPr>
        <w:pStyle w:val="Heading3"/>
        <w:spacing w:after="120" w:before="280"/>
      </w:pPr>
      <w:bookmarkStart w:id="100082" w:name="_Toc100082"/>
      <w:r>
        <w:rPr>
          <w:rFonts w:ascii="Times New Roman" w:eastAsia="SimHei"/>
          <w:b/>
          <w:bCs/>
          <w:color w:val="162032"/>
          <w:sz w:val="24"/>
          <w:szCs w:val="24"/>
        </w:rPr>
        <w:t xml:space="preserve">18.1 Complete Temporal DAG Equations</w:t>
      </w:r>
      <w:bookmarkEnd w:id="100082"/>
    </w:p>
    <w:p>
      <w:pPr>
        <w:spacing w:after="80" w:line="276"/>
        <w:ind w:left="480"/>
        <w:jc w:val="left"/>
      </w:pPr>
      <w:r>
        <w:rPr>
          <w:rFonts w:ascii="Courier New" w:eastAsia="Courier New"/>
          <w:color w:val="333333"/>
          <w:sz w:val="20"/>
          <w:szCs w:val="20"/>
        </w:rPr>
        <w:t xml:space="preserve">Eq 1: Weather(t) → ET(t)</w:t>
      </w:r>
    </w:p>
    <w:p>
      <w:pPr>
        <w:spacing w:after="80" w:line="276"/>
        <w:ind w:left="480"/>
        <w:jc w:val="left"/>
      </w:pPr>
      <w:r>
        <w:rPr>
          <w:rFonts w:ascii="Courier New" w:eastAsia="Courier New"/>
          <w:color w:val="333333"/>
          <w:sz w:val="20"/>
          <w:szCs w:val="20"/>
        </w:rPr>
        <w:t xml:space="preserve">Eq 2: Rainfall(t), ET(t), Soil(t), I_latent(t) → Soil_Moisture(t)</w:t>
      </w:r>
    </w:p>
    <w:p>
      <w:pPr>
        <w:spacing w:after="80" w:line="276"/>
        <w:ind w:left="480"/>
        <w:jc w:val="left"/>
      </w:pPr>
      <w:r>
        <w:rPr>
          <w:rFonts w:ascii="Courier New" w:eastAsia="Courier New"/>
          <w:color w:val="333333"/>
          <w:sz w:val="20"/>
          <w:szCs w:val="20"/>
        </w:rPr>
        <w:t xml:space="preserve">Eq 3: Soil_Moisture(t), Temperature(t), Crop_Stage(t) → Vegetation_Health(t)</w:t>
      </w:r>
    </w:p>
    <w:p>
      <w:pPr>
        <w:spacing w:after="80" w:line="276"/>
        <w:ind w:left="480"/>
        <w:jc w:val="left"/>
      </w:pPr>
      <w:r>
        <w:rPr>
          <w:rFonts w:ascii="Courier New" w:eastAsia="Courier New"/>
          <w:color w:val="333333"/>
          <w:sz w:val="20"/>
          <w:szCs w:val="20"/>
        </w:rPr>
        <w:t xml:space="preserve">Eq 4: Vegetation_Health(t), AGDD(t), Crop_Calendar → Crop_Stage(t+1)</w:t>
      </w:r>
    </w:p>
    <w:p>
      <w:pPr>
        <w:spacing w:after="80" w:line="276"/>
        <w:ind w:left="480"/>
        <w:jc w:val="left"/>
      </w:pPr>
      <w:r>
        <w:rPr>
          <w:rFonts w:ascii="Courier New" w:eastAsia="Courier New"/>
          <w:color w:val="333333"/>
          <w:sz w:val="20"/>
          <w:szCs w:val="20"/>
        </w:rPr>
        <w:t xml:space="preserve">Eq 5: Vegetation_Health(t), Crop_Stage(t), Stress_Accumulation(t) → Yield_Risk(t+1)</w:t>
      </w:r>
    </w:p>
    <w:p>
      <w:pPr>
        <w:pStyle w:val="Heading3"/>
        <w:spacing w:after="120" w:before="280"/>
      </w:pPr>
      <w:bookmarkStart w:id="100083" w:name="_Toc100083"/>
      <w:r>
        <w:rPr>
          <w:rFonts w:ascii="Times New Roman" w:eastAsia="SimHei"/>
          <w:b/>
          <w:bCs/>
          <w:color w:val="162032"/>
          <w:sz w:val="24"/>
          <w:szCs w:val="24"/>
        </w:rPr>
        <w:t xml:space="preserve">18.2 Edge Strength Learning</w:t>
      </w:r>
      <w:bookmarkEnd w:id="100083"/>
    </w:p>
    <w:p>
      <w:pPr>
        <w:spacing w:after="120" w:line="312"/>
        <w:jc w:val="both"/>
      </w:pPr>
      <w:r>
        <w:rPr>
          <w:rFonts w:ascii="Times New Roman" w:eastAsia="SimSun"/>
          <w:color w:val="000000"/>
          <w:sz w:val="24"/>
          <w:szCs w:val="24"/>
        </w:rPr>
        <w:t xml:space="preserve">In the first version, the causal graph structure is domain-specified (fixed topology), and only edge strengths are learnable. Full neural causal discovery is deferred to Phase 2. Key edges with domain-fixed directions and learnable strength coefficients include: Weather→ET, Rainfall→SM, ET→SM, I_latent→SM, SM→VH, Temperature→VH, Crop_Stage→VH, VH→CS(t+1), AGDD→CS(t+1), VH→YR(t+1), CS→YR(t+1), Stress_Acc→YR(t+1).</w:t>
      </w:r>
    </w:p>
    <w:p>
      <w:pPr>
        <w:pStyle w:val="Heading3"/>
        <w:spacing w:after="120" w:before="280"/>
      </w:pPr>
      <w:bookmarkStart w:id="100084" w:name="_Toc100084"/>
      <w:r>
        <w:rPr>
          <w:rFonts w:ascii="Times New Roman" w:eastAsia="SimHei"/>
          <w:b/>
          <w:bCs/>
          <w:color w:val="162032"/>
          <w:sz w:val="24"/>
          <w:szCs w:val="24"/>
        </w:rPr>
        <w:t xml:space="preserve">18.3 Causal Loss</w:t>
      </w:r>
      <w:bookmarkEnd w:id="100084"/>
    </w:p>
    <w:p>
      <w:pPr>
        <w:spacing w:after="80" w:line="276"/>
        <w:ind w:left="480"/>
        <w:jc w:val="left"/>
      </w:pPr>
      <w:r>
        <w:rPr>
          <w:rFonts w:ascii="Courier New" w:eastAsia="Courier New"/>
          <w:color w:val="333333"/>
          <w:sz w:val="20"/>
          <w:szCs w:val="20"/>
        </w:rPr>
        <w:t xml:space="preserve">L_temporal_DAG = λ_causal(t) × [</w:t>
      </w:r>
    </w:p>
    <w:p>
      <w:pPr>
        <w:spacing w:after="80" w:line="276"/>
        <w:ind w:left="480"/>
        <w:jc w:val="left"/>
      </w:pPr>
      <w:r>
        <w:rPr>
          <w:rFonts w:ascii="Courier New" w:eastAsia="Courier New"/>
          <w:color w:val="333333"/>
          <w:sz w:val="20"/>
          <w:szCs w:val="20"/>
        </w:rPr>
        <w:t xml:space="preserve">  Σ_edges ||predicted_effect - learned_strength × cause||</w:t>
      </w:r>
    </w:p>
    <w:p>
      <w:pPr>
        <w:spacing w:after="80" w:line="276"/>
        <w:ind w:left="480"/>
        <w:jc w:val="left"/>
      </w:pPr>
      <w:r>
        <w:rPr>
          <w:rFonts w:ascii="Courier New" w:eastAsia="Courier New"/>
          <w:color w:val="333333"/>
          <w:sz w:val="20"/>
          <w:szCs w:val="20"/>
        </w:rPr>
        <w:t xml:space="preserve">  + acyclicity_penalty + sign_consistency_penalty</w:t>
      </w:r>
    </w:p>
    <w:p>
      <w:pPr>
        <w:spacing w:after="80" w:line="276"/>
        <w:ind w:left="480"/>
        <w:jc w:val="left"/>
      </w:pPr>
      <w:r>
        <w:rPr>
          <w:rFonts w:ascii="Courier New" w:eastAsia="Courier New"/>
          <w:color w:val="333333"/>
          <w:sz w:val="20"/>
          <w:szCs w:val="20"/>
        </w:rPr>
        <w:t xml:space="preserve">]</w:t>
      </w:r>
    </w:p>
    <w:p>
      <w:pPr>
        <w:pStyle w:val="Heading2"/>
        <w:spacing w:after="160" w:before="360"/>
      </w:pPr>
      <w:bookmarkStart w:id="100085" w:name="_Toc100085"/>
      <w:r>
        <w:rPr>
          <w:rFonts w:ascii="Times New Roman" w:eastAsia="SimHei"/>
          <w:b/>
          <w:bCs/>
          <w:color w:val="162032"/>
          <w:sz w:val="28"/>
          <w:szCs w:val="28"/>
        </w:rPr>
        <w:t xml:space="preserve">19. Causal Validation Metrics</w:t>
      </w:r>
      <w:bookmarkEnd w:id="100085"/>
    </w:p>
    <w:p>
      <w:pPr>
        <w:pStyle w:val="Heading3"/>
        <w:spacing w:after="120" w:before="280"/>
      </w:pPr>
      <w:bookmarkStart w:id="100086" w:name="_Toc100086"/>
      <w:r>
        <w:rPr>
          <w:rFonts w:ascii="Times New Roman" w:eastAsia="SimHei"/>
          <w:b/>
          <w:bCs/>
          <w:color w:val="162032"/>
          <w:sz w:val="24"/>
          <w:szCs w:val="24"/>
        </w:rPr>
        <w:t xml:space="preserve">19.1 Causal Validation Tests</w:t>
      </w:r>
      <w:bookmarkEnd w:id="10008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Test</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Acceptance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Failure Action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Graph acyclicity</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Structural validity</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 directed cycles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Redesign temporal DAG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Directional sign checks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Correct effect directions</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&gt;95% correct signs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Debug causal layer</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Invariance across years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Stable edge strengths</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CV &lt;0.3 for key edges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causal claims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Invariance across regions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Stable causal relationships</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Same sign, similar magnitude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Report region-specific behavior</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Extreme event behavior</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Capture known drought events</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Correct stress signal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Inspect I_latent; check data</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Irrigated vs rainfed contrast</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I_latent higher in irrigated areas</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Significant difference (p&lt;0.05)</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Reconsider I_latent interpretation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Scenario monotonicity</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Plausible intervention responses</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&gt;90% monotonic scenarios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Document exceptions</w:t>
            </w:r>
          </w:p>
        </w:tc>
      </w:tr>
      <w:tr>
        <w:trPr>
          <w:cantSplit/>
        </w:trPr>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Known-event case studies</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Match documented events</w:t>
            </w:r>
          </w:p>
        </w:tc>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Qualitative agreement</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Document disagreement</w:t>
            </w:r>
          </w:p>
        </w:tc>
      </w:tr>
    </w:tbl>
    <w:p>
      <w:pPr>
        <w:pStyle w:val="Heading3"/>
        <w:spacing w:after="120" w:before="280"/>
      </w:pPr>
      <w:bookmarkStart w:id="100087" w:name="_Toc100087"/>
      <w:r>
        <w:rPr>
          <w:rFonts w:ascii="Times New Roman" w:eastAsia="SimHei"/>
          <w:b/>
          <w:bCs/>
          <w:color w:val="162032"/>
          <w:sz w:val="24"/>
          <w:szCs w:val="24"/>
        </w:rPr>
        <w:t xml:space="preserve">19.2 Causal Terminology Guidelines</w:t>
      </w:r>
      <w:bookmarkEnd w:id="10008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5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Allowed Terminology</w:t>
            </w:r>
          </w:p>
        </w:tc>
        <w:tc>
          <w:tcPr>
            <w:tcW w:type="pct" w:w="5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Prohibited Terminology (in MVRC)</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Causally informed structure</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 foundation model</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Causally structured scenario analysis</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Fully causal decision engine</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DAG-guided representation</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Proven causal discovery</w:t>
            </w:r>
          </w:p>
        </w:tc>
      </w:tr>
      <w:tr>
        <w:trPr>
          <w:cantSplit/>
        </w:trPr>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Scenario simulation</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Counterfactual inference</w:t>
            </w:r>
          </w:p>
        </w:tc>
      </w:tr>
      <w:tr>
        <w:trPr>
          <w:cantSplit/>
        </w:trPr>
        <w:tc>
          <w:tcPr>
            <w:tcW w:type="pct" w:w="5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Causal plausibility checks</w:t>
            </w:r>
          </w:p>
        </w:tc>
        <w:tc>
          <w:tcPr>
            <w:tcW w:type="pct" w:w="5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Validated causal effect estimates</w:t>
            </w:r>
          </w:p>
        </w:tc>
      </w:tr>
    </w:tbl>
    <w:p>
      <w:pPr>
        <w:pStyle w:val="Heading2"/>
        <w:spacing w:after="160" w:before="360"/>
      </w:pPr>
      <w:bookmarkStart w:id="100088" w:name="_Toc100088"/>
      <w:r>
        <w:rPr>
          <w:rFonts w:ascii="Times New Roman" w:eastAsia="SimHei"/>
          <w:b/>
          <w:bCs/>
          <w:color w:val="162032"/>
          <w:sz w:val="28"/>
          <w:szCs w:val="28"/>
        </w:rPr>
        <w:t xml:space="preserve">20. Counterfactual Module Status</w:t>
      </w:r>
      <w:bookmarkEnd w:id="100088"/>
    </w:p>
    <w:p>
      <w:pPr>
        <w:pStyle w:val="Heading3"/>
        <w:spacing w:after="120" w:before="280"/>
      </w:pPr>
      <w:bookmarkStart w:id="100089" w:name="_Toc100089"/>
      <w:r>
        <w:rPr>
          <w:rFonts w:ascii="Times New Roman" w:eastAsia="SimHei"/>
          <w:b/>
          <w:bCs/>
          <w:color w:val="162032"/>
          <w:sz w:val="24"/>
          <w:szCs w:val="24"/>
        </w:rPr>
        <w:t xml:space="preserve">20.1 Phased Counterfactual Plan</w:t>
      </w:r>
      <w:bookmarkEnd w:id="10008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Stage</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Status</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Scope</w:t>
            </w:r>
          </w:p>
        </w:tc>
        <w:tc>
          <w:tcPr>
            <w:tcW w:type="pct" w:w="24%"/>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Validation Requirement</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Year 1 (MVRC)</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Limited scenario-sensitivity tests only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Apply synthetic perturbations; check directional responses</w:t>
            </w:r>
          </w:p>
        </w:tc>
        <w:tc>
          <w:tcPr>
            <w:tcW w:type="pct" w:w="2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Sign checks, monotonicity</w:t>
            </w:r>
          </w:p>
        </w:tc>
      </w:tr>
      <w:tr>
        <w:trPr>
          <w:cantSplit/>
        </w:trPr>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Year 2 (Phase 2)</w:t>
            </w:r>
          </w:p>
        </w:tc>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Formal counterfactual module</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If temporal-DAG and physics pass validation</w:t>
            </w:r>
          </w:p>
        </w:tc>
        <w:tc>
          <w:tcPr>
            <w:tcW w:type="pct" w:w="24%"/>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Intervention-like evidence; natural experiment validation</w:t>
            </w:r>
          </w:p>
        </w:tc>
      </w:tr>
    </w:tbl>
    <w:p>
      <w:pPr>
        <w:spacing w:after="120" w:line="312"/>
        <w:jc w:val="both"/>
      </w:pPr>
      <w:r>
        <w:rPr>
          <w:rFonts w:ascii="Times New Roman" w:eastAsia="SimSun"/>
          <w:color w:val="000000"/>
          <w:sz w:val="24"/>
          <w:szCs w:val="24"/>
        </w:rPr>
        <w:t xml:space="preserve">All Year 1 counterfactual outputs must be labeled as "scenario simulations" unless validated using intervention-like evidence. The term "counterfactual inference" is reserved for Phase 2 and requires: validated temporal DAG (G6 passed), stable physics constraints (G5 passed), at least one natural experiment or quasi-experimental validation, and sign, magnitude, and monotonicity checks passed.</w:t>
      </w:r>
    </w:p>
    <w:p>
      <w:pPr>
        <w:pStyle w:val="Heading1"/>
        <w:spacing w:after="200" w:before="480"/>
      </w:pPr>
      <w:bookmarkStart w:id="100090" w:name="_Toc100090"/>
      <w:r>
        <w:rPr>
          <w:rFonts w:ascii="Times New Roman" w:eastAsia="SimHei"/>
          <w:b/>
          <w:bCs/>
          <w:color w:val="162032"/>
          <w:sz w:val="32"/>
          <w:szCs w:val="32"/>
        </w:rPr>
        <w:t xml:space="preserve">Part VII: Evaluation Framework</w:t>
      </w:r>
      <w:bookmarkEnd w:id="100090"/>
    </w:p>
    <w:p>
      <w:pPr>
        <w:pStyle w:val="Heading2"/>
        <w:spacing w:after="160" w:before="360"/>
      </w:pPr>
      <w:bookmarkStart w:id="100091" w:name="_Toc100091"/>
      <w:r>
        <w:rPr>
          <w:rFonts w:ascii="Times New Roman" w:eastAsia="SimHei"/>
          <w:b/>
          <w:bCs/>
          <w:color w:val="162032"/>
          <w:sz w:val="28"/>
          <w:szCs w:val="28"/>
        </w:rPr>
        <w:t xml:space="preserve">21. Baseline Specifications</w:t>
      </w:r>
      <w:bookmarkEnd w:id="100091"/>
    </w:p>
    <w:p>
      <w:pPr>
        <w:pStyle w:val="Heading3"/>
        <w:spacing w:after="120" w:before="280"/>
      </w:pPr>
      <w:bookmarkStart w:id="100092" w:name="_Toc100092"/>
      <w:r>
        <w:rPr>
          <w:rFonts w:ascii="Times New Roman" w:eastAsia="SimHei"/>
          <w:b/>
          <w:bCs/>
          <w:color w:val="162032"/>
          <w:sz w:val="24"/>
          <w:szCs w:val="24"/>
        </w:rPr>
        <w:t xml:space="preserve">21.1 Required Baselines</w:t>
      </w:r>
      <w:bookmarkEnd w:id="10009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Baseline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27%"/>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Must-include?</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Climatology / Historical Mean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Minimum skill baseline</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Persistence Model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forecasting baseline</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GDD Phenology Model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Simple crop-physics baseline</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4</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SPI/SPEI/VHI Drought Index Models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Drought-monitoring baselines</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Random Forest / XGBoost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Strong tabular engineered-feature baseline</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6</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LSTM / TCN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Deep temporal baseline</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7</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Satellite-only Model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Tests value of imagery alone</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8</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Weather-only Model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Tests value of climate data alone</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9</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Multimodal No-Physics Model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Tests physics contribution</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Multimodal No-Process-SSL Model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Tests process SSL contribution</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11</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Existing GeoFM Features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Tests value over general EO representations</w:t>
            </w:r>
          </w:p>
        </w:tc>
        <w:tc>
          <w:tcPr>
            <w:tcW w:type="pct" w:w="2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If feasible</w:t>
            </w:r>
          </w:p>
        </w:tc>
      </w:tr>
      <w:tr>
        <w:trPr>
          <w:cantSplit/>
        </w:trPr>
        <w:tc>
          <w:tcPr>
            <w:tcW w:type="pct" w:w="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12</w:t>
            </w:r>
          </w:p>
        </w:tc>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AquaCrop/DSSAT/APSIM</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Process-model comparison</w:t>
            </w:r>
          </w:p>
        </w:tc>
        <w:tc>
          <w:tcPr>
            <w:tcW w:type="pct" w:w="27%"/>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If feasible</w:t>
            </w:r>
          </w:p>
        </w:tc>
      </w:tr>
    </w:tbl>
    <w:p>
      <w:pPr>
        <w:pStyle w:val="Heading2"/>
        <w:spacing w:after="160" w:before="360"/>
      </w:pPr>
      <w:bookmarkStart w:id="100093" w:name="_Toc100093"/>
      <w:r>
        <w:rPr>
          <w:rFonts w:ascii="Times New Roman" w:eastAsia="SimHei"/>
          <w:b/>
          <w:bCs/>
          <w:color w:val="162032"/>
          <w:sz w:val="28"/>
          <w:szCs w:val="28"/>
        </w:rPr>
        <w:t xml:space="preserve">22. Evaluation Split Protocol</w:t>
      </w:r>
      <w:bookmarkEnd w:id="10009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Split ID</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Split Type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Purpose</w:t>
            </w:r>
          </w:p>
        </w:tc>
        <w:tc>
          <w:tcPr>
            <w:tcW w:type="pct" w:w="43%"/>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Data Used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S1</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Random within-region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Basic sanity check</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Random pixel-level split within training years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S2</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Out-of-year</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generalization</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Year 2022 held out from training</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S3</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Out-of-region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Spatial transfer</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One region entirely held out</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S4</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Extreme-event holdout</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Drought/heat robustness</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Documented drought years held out</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S5</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Early-season prediction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No-leakage forecasting</w:t>
            </w:r>
          </w:p>
        </w:tc>
        <w:tc>
          <w:tcPr>
            <w:tcW w:type="pct" w:w="4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Only first 40/60/80 days of season</w:t>
            </w:r>
          </w:p>
        </w:tc>
      </w:tr>
      <w:tr>
        <w:trPr>
          <w:cantSplit/>
        </w:trPr>
        <w:tc>
          <w:tcPr>
            <w:tcW w:type="pct" w:w="1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S6</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Irrigated/rainfed contrast</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Confounding analysis</w:t>
            </w:r>
          </w:p>
        </w:tc>
        <w:tc>
          <w:tcPr>
            <w:tcW w:type="pct" w:w="43%"/>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Split by irrigation status (if available)</w:t>
            </w:r>
          </w:p>
        </w:tc>
      </w:tr>
    </w:tbl>
    <w:p>
      <w:pPr>
        <w:pStyle w:val="Heading2"/>
        <w:spacing w:after="160" w:before="360"/>
      </w:pPr>
      <w:bookmarkStart w:id="100094" w:name="_Toc100094"/>
      <w:r>
        <w:rPr>
          <w:rFonts w:ascii="Times New Roman" w:eastAsia="SimHei"/>
          <w:b/>
          <w:bCs/>
          <w:color w:val="162032"/>
          <w:sz w:val="28"/>
          <w:szCs w:val="28"/>
        </w:rPr>
        <w:t xml:space="preserve">23. Task Metrics and Thresholds</w:t>
      </w:r>
      <w:bookmarkEnd w:id="100094"/>
    </w:p>
    <w:p>
      <w:pPr>
        <w:pStyle w:val="Heading3"/>
        <w:spacing w:after="120" w:before="280"/>
      </w:pPr>
      <w:bookmarkStart w:id="100095" w:name="_Toc100095"/>
      <w:r>
        <w:rPr>
          <w:rFonts w:ascii="Times New Roman" w:eastAsia="SimHei"/>
          <w:b/>
          <w:bCs/>
          <w:color w:val="162032"/>
          <w:sz w:val="24"/>
          <w:szCs w:val="24"/>
        </w:rPr>
        <w:t xml:space="preserve">23.1 Crop Stress Detection</w:t>
      </w:r>
      <w:bookmarkEnd w:id="10009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Threshold</w:t>
            </w:r>
          </w:p>
        </w:tc>
        <w:tc>
          <w:tcPr>
            <w:tcW w:type="pct" w:w="23%"/>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Target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AUROC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Area under ROC curve</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&gt;0.80</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&gt;0.90</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AUPRC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Area under PR curve</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&gt;0.60</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&gt;0.80</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Event-level F1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F1 for drought event detection</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&gt;0.50</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&gt;0.70</w:t>
            </w:r>
          </w:p>
        </w:tc>
      </w:tr>
      <w:tr>
        <w:trPr>
          <w:cantSplit/>
        </w:trPr>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Spatial IoU</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Intersection over Union of stress maps</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&gt;0.30</w:t>
            </w:r>
          </w:p>
        </w:tc>
        <w:tc>
          <w:tcPr>
            <w:tcW w:type="pct" w:w="23%"/>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&gt;0.50</w:t>
            </w:r>
          </w:p>
        </w:tc>
      </w:tr>
    </w:tbl>
    <w:p>
      <w:pPr>
        <w:pStyle w:val="Heading3"/>
        <w:spacing w:after="120" w:before="280"/>
      </w:pPr>
      <w:bookmarkStart w:id="100096" w:name="_Toc100096"/>
      <w:r>
        <w:rPr>
          <w:rFonts w:ascii="Times New Roman" w:eastAsia="SimHei"/>
          <w:b/>
          <w:bCs/>
          <w:color w:val="162032"/>
          <w:sz w:val="24"/>
          <w:szCs w:val="24"/>
        </w:rPr>
        <w:t xml:space="preserve">23.2 Phenology Forecasting</w:t>
      </w:r>
      <w:bookmarkEnd w:id="10009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Threshold</w:t>
            </w:r>
          </w:p>
        </w:tc>
        <w:tc>
          <w:tcPr>
            <w:tcW w:type="pct" w:w="23%"/>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Target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MAE (days)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Mean absolute error of transition timing</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&lt;10 days</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&lt;5 days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Transition F1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F1 for phenology transitions</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&gt;0.60</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&gt;0.80</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Stage accuracy</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Phenology stage classification accuracy</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&gt;0.70</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&gt;0.85</w:t>
            </w:r>
          </w:p>
        </w:tc>
      </w:tr>
      <w:tr>
        <w:trPr>
          <w:cantSplit/>
        </w:trPr>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Calibration (ECE)</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Expected Calibration Error</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&lt;0.10</w:t>
            </w:r>
          </w:p>
        </w:tc>
        <w:tc>
          <w:tcPr>
            <w:tcW w:type="pct" w:w="23%"/>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&lt;0.05</w:t>
            </w:r>
          </w:p>
        </w:tc>
      </w:tr>
    </w:tbl>
    <w:p>
      <w:pPr>
        <w:pStyle w:val="Heading3"/>
        <w:spacing w:after="120" w:before="280"/>
      </w:pPr>
      <w:bookmarkStart w:id="100097" w:name="_Toc100097"/>
      <w:r>
        <w:rPr>
          <w:rFonts w:ascii="Times New Roman" w:eastAsia="SimHei"/>
          <w:b/>
          <w:bCs/>
          <w:color w:val="162032"/>
          <w:sz w:val="24"/>
          <w:szCs w:val="24"/>
        </w:rPr>
        <w:t xml:space="preserve">23.3 Drought Forecasting</w:t>
      </w:r>
      <w:bookmarkEnd w:id="10009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Threshold</w:t>
            </w:r>
          </w:p>
        </w:tc>
        <w:tc>
          <w:tcPr>
            <w:tcW w:type="pct" w:w="23%"/>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Target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RMSE (drought index)</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RMSE of predicted drought index</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&lt;0.5 (standardized)</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&lt;0.3</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Onset F1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F1 for drought onset detection</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&gt;0.50</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&gt;0.70</w:t>
            </w:r>
          </w:p>
        </w:tc>
      </w:tr>
      <w:tr>
        <w:trPr>
          <w:cantSplit/>
        </w:trPr>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Lead-time skill score</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Skill vs climatology at various leads</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Positive at 20-day lead</w:t>
            </w:r>
          </w:p>
        </w:tc>
        <w:tc>
          <w:tcPr>
            <w:tcW w:type="pct" w:w="23%"/>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Positive at 40-day lead</w:t>
            </w:r>
          </w:p>
        </w:tc>
      </w:tr>
    </w:tbl>
    <w:p>
      <w:pPr>
        <w:pStyle w:val="Heading3"/>
        <w:spacing w:after="120" w:before="280"/>
      </w:pPr>
      <w:bookmarkStart w:id="100098" w:name="_Toc100098"/>
      <w:r>
        <w:rPr>
          <w:rFonts w:ascii="Times New Roman" w:eastAsia="SimHei"/>
          <w:b/>
          <w:bCs/>
          <w:color w:val="162032"/>
          <w:sz w:val="24"/>
          <w:szCs w:val="24"/>
        </w:rPr>
        <w:t xml:space="preserve">23.4 Yield-Risk Prediction</w:t>
      </w:r>
      <w:bookmarkEnd w:id="10009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Threshold</w:t>
            </w:r>
          </w:p>
        </w:tc>
        <w:tc>
          <w:tcPr>
            <w:tcW w:type="pct" w:w="23%"/>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Target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RMSE (yield)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Root mean square error</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&lt;15% of mean yield</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&lt;10%</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MAE (yield)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Mean absolute error</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&lt;12% of mean yield</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&lt;8%</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R²</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Coefficient of determination</w:t>
            </w:r>
          </w:p>
        </w:tc>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&gt;0.50</w:t>
            </w:r>
          </w:p>
        </w:tc>
        <w:tc>
          <w:tcPr>
            <w:tcW w:type="pct" w:w="23%"/>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&gt;0.70</w:t>
            </w:r>
          </w:p>
        </w:tc>
      </w:tr>
      <w:tr>
        <w:trPr>
          <w:cantSplit/>
        </w:trPr>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AUC (below-threshold risk)</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AUC for yield below threshold</w:t>
            </w:r>
          </w:p>
        </w:tc>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&gt;0.75</w:t>
            </w:r>
          </w:p>
        </w:tc>
        <w:tc>
          <w:tcPr>
            <w:tcW w:type="pct" w:w="23%"/>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&gt;0.85</w:t>
            </w:r>
          </w:p>
        </w:tc>
      </w:tr>
    </w:tbl>
    <w:p>
      <w:pPr>
        <w:pStyle w:val="Heading3"/>
        <w:spacing w:after="120" w:before="280"/>
      </w:pPr>
      <w:bookmarkStart w:id="100099" w:name="_Toc100099"/>
      <w:r>
        <w:rPr>
          <w:rFonts w:ascii="Times New Roman" w:eastAsia="SimHei"/>
          <w:b/>
          <w:bCs/>
          <w:color w:val="162032"/>
          <w:sz w:val="24"/>
          <w:szCs w:val="24"/>
        </w:rPr>
        <w:t xml:space="preserve">23.5 Representation Quality</w:t>
      </w:r>
      <w:bookmarkEnd w:id="10009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Threshold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Linear probing accuracy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Frozen representation + linear classifier</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&gt;supervised-from-scratch baseline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Fine-tuning efficiency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Performance vs. fine-tuning samples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Better than random-init at &lt;50% data</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Transfer gap</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Fine-tuning performance difference across regions</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Smaller than supervised baseline</w:t>
            </w:r>
          </w:p>
        </w:tc>
      </w:tr>
    </w:tbl>
    <w:p>
      <w:pPr>
        <w:pStyle w:val="Heading3"/>
        <w:spacing w:after="120" w:before="280"/>
      </w:pPr>
      <w:bookmarkStart w:id="100100" w:name="_Toc100100"/>
      <w:r>
        <w:rPr>
          <w:rFonts w:ascii="Times New Roman" w:eastAsia="SimHei"/>
          <w:b/>
          <w:bCs/>
          <w:color w:val="162032"/>
          <w:sz w:val="24"/>
          <w:szCs w:val="24"/>
        </w:rPr>
        <w:t xml:space="preserve">23.6 Physics Consistency</w:t>
      </w:r>
      <w:bookmarkEnd w:id="10010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Acceptance Criterion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Water-balance residual RMSE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Physical consistency measure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≥15% improvement over non-physics model</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Impossible-state rate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Predictions violating basic physics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&lt;1%</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Stress-under-deficit check</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Healthy growth under severe deficit without I_latent</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&lt;5% violation rate</w:t>
            </w:r>
          </w:p>
        </w:tc>
      </w:tr>
    </w:tbl>
    <w:p>
      <w:pPr>
        <w:pStyle w:val="Heading3"/>
        <w:spacing w:after="120" w:before="280"/>
      </w:pPr>
      <w:bookmarkStart w:id="100101" w:name="_Toc100101"/>
      <w:r>
        <w:rPr>
          <w:rFonts w:ascii="Times New Roman" w:eastAsia="SimHei"/>
          <w:b/>
          <w:bCs/>
          <w:color w:val="162032"/>
          <w:sz w:val="24"/>
          <w:szCs w:val="24"/>
        </w:rPr>
        <w:t xml:space="preserve">23.7 Causal Plausibility</w:t>
      </w:r>
      <w:bookmarkEnd w:id="1001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3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Acceptance Criterion</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Sign correctness</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Correct directional effects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&gt;95% of test cases</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Monotonicity</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Plausible response to interventions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&gt;90% of scenarios</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Invariance (cross-year)</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Stable edge strengths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CV &lt;0.3 for key edges</w:t>
            </w:r>
          </w:p>
        </w:tc>
      </w:tr>
      <w:tr>
        <w:trPr>
          <w:cantSplit/>
        </w:trPr>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Known-event agreement</w:t>
            </w:r>
          </w:p>
        </w:tc>
        <w:tc>
          <w:tcPr>
            <w:tcW w:type="pct" w:w="3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Qualitative match with documented events</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Documented case studies agree</w:t>
            </w:r>
          </w:p>
        </w:tc>
      </w:tr>
    </w:tbl>
    <w:p>
      <w:pPr>
        <w:pStyle w:val="Heading3"/>
        <w:spacing w:after="120" w:before="280"/>
      </w:pPr>
      <w:bookmarkStart w:id="100102" w:name="_Toc100102"/>
      <w:r>
        <w:rPr>
          <w:rFonts w:ascii="Times New Roman" w:eastAsia="SimHei"/>
          <w:b/>
          <w:bCs/>
          <w:color w:val="162032"/>
          <w:sz w:val="24"/>
          <w:szCs w:val="24"/>
        </w:rPr>
        <w:t xml:space="preserve">23.8 Calibration</w:t>
      </w:r>
      <w:bookmarkEnd w:id="1001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Metric</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Description</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Threshold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Brier score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Probabilistic calibration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&lt;0.2 for binary tasks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ECE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Expected Calibration Error</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&lt;0.10</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Reliability curves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Visual calibration check</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Close to diagonal</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Prediction interval coverage</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 of true values within intervals</w:t>
            </w:r>
          </w:p>
        </w:tc>
        <w:tc>
          <w:tcPr>
            <w:tcW w:type="pct" w:w="3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Within 5% of nominal coverage</w:t>
            </w:r>
          </w:p>
        </w:tc>
      </w:tr>
    </w:tbl>
    <w:p>
      <w:pPr>
        <w:pStyle w:val="Heading1"/>
        <w:spacing w:after="200" w:before="480"/>
      </w:pPr>
      <w:bookmarkStart w:id="100103" w:name="_Toc100103"/>
      <w:r>
        <w:rPr>
          <w:rFonts w:ascii="Times New Roman" w:eastAsia="SimHei"/>
          <w:b/>
          <w:bCs/>
          <w:color w:val="162032"/>
          <w:sz w:val="32"/>
          <w:szCs w:val="32"/>
        </w:rPr>
        <w:t xml:space="preserve">Part VIII: Implementation Roadmap</w:t>
      </w:r>
      <w:bookmarkEnd w:id="100103"/>
    </w:p>
    <w:p>
      <w:pPr>
        <w:pStyle w:val="Heading2"/>
        <w:spacing w:after="160" w:before="360"/>
      </w:pPr>
      <w:bookmarkStart w:id="100104" w:name="_Toc100104"/>
      <w:r>
        <w:rPr>
          <w:rFonts w:ascii="Times New Roman" w:eastAsia="SimHei"/>
          <w:b/>
          <w:bCs/>
          <w:color w:val="162032"/>
          <w:sz w:val="28"/>
          <w:szCs w:val="28"/>
        </w:rPr>
        <w:t xml:space="preserve">24. 52-Week MVRC Roadmap</w:t>
      </w:r>
      <w:bookmarkEnd w:id="100104"/>
    </w:p>
    <w:p>
      <w:pPr>
        <w:pStyle w:val="Heading3"/>
        <w:spacing w:after="120" w:before="280"/>
      </w:pPr>
      <w:bookmarkStart w:id="100105" w:name="_Toc100105"/>
      <w:r>
        <w:rPr>
          <w:rFonts w:ascii="Times New Roman" w:eastAsia="SimHei"/>
          <w:b/>
          <w:bCs/>
          <w:color w:val="162032"/>
          <w:sz w:val="24"/>
          <w:szCs w:val="24"/>
        </w:rPr>
        <w:t xml:space="preserve">24.1 Phase Breakdown</w:t>
      </w:r>
      <w:bookmarkEnd w:id="1001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Weeks</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Phase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Output</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Gate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1-2</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Revision and scope lock</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Revised hypothesis, MVRC, study regions, tasks, metrics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G0</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3-8</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Data audit and datacube prototype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Multi-resolution datacube for one pilot region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G1</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9-12</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Domain and tool strengthening</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Agronomy/drought/phenology knowledge track completed</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13-18</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Baselines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Climatology, persistence, XGBoost/RF, GDD/SPI/VHI, LSTM/TCN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G2</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19-26</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MVP model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Satellite/weather/soil/crop encoders and fusion module</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G3</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27-34</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Process-centered SSL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Future trajectory, phenology, drought objectives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G4</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35-40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regularization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Water-balance and growth-loss ablations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G5</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41-45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Transfer and robustness testing</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Out-of-region/year/event evaluation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46-49</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Causal-informed diagnostics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Temporal-DAG sign/invariance/scenario tests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G6</w:t>
            </w:r>
          </w:p>
        </w:tc>
      </w:tr>
      <w:tr>
        <w:trPr>
          <w:cantSplit/>
        </w:trPr>
        <w:tc>
          <w:tcPr>
            <w:tcW w:type="pct" w:w="1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50-52</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Final integration and report</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Ablation tables, error analysis, manuscript-ready results</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G7</w:t>
            </w:r>
          </w:p>
        </w:tc>
      </w:tr>
    </w:tbl>
    <w:p>
      <w:pPr>
        <w:pStyle w:val="Heading2"/>
        <w:spacing w:after="160" w:before="360"/>
      </w:pPr>
      <w:bookmarkStart w:id="100106" w:name="_Toc100106"/>
      <w:r>
        <w:rPr>
          <w:rFonts w:ascii="Times New Roman" w:eastAsia="SimHei"/>
          <w:b/>
          <w:bCs/>
          <w:color w:val="162032"/>
          <w:sz w:val="28"/>
          <w:szCs w:val="28"/>
        </w:rPr>
        <w:t xml:space="preserve">25. Implementation Gates</w:t>
      </w:r>
      <w:bookmarkEnd w:id="10010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Gate</w:t>
            </w:r>
          </w:p>
        </w:tc>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Name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Go Condition</w:t>
            </w:r>
          </w:p>
        </w:tc>
        <w:tc>
          <w:tcPr>
            <w:tcW w:type="pct" w:w="34%"/>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No-Go Condition</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G0</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Scope Lock</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Final crop/region/year/task/metric/data selection is testable and data exists</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 available data for any region-crop combination</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G1</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Data Readiness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At least 2 regions have sufficient data; cloud/missingness acceptable</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 reliable labels or severe missingness with no fallback</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G2</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Baseline Performance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At least one simple baseline beats climatology/persistence</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Labels or task definition appear invalid</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G3</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Multimodal Fusion Value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Fusion improves over best single-modality in at least 1 primary task</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Fusion adds no value after alignment/missingness fixes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G4</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 SSL Value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 SSL improves transfer, fine-tuning efficiency, or extreme-event performance</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 collapses or provides no measurable benefit</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G5</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Value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improves consistency (≥15% residual reduction) without major task degradation (≤3%)</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worsens both residuals and task metrics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G6</w:t>
            </w:r>
          </w:p>
        </w:tc>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Causal-Informed Value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Temporal-DAG passes sign, monotonicity, and invariance checks</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Scenario behavior is unstable or contradicts domain knowledge</w:t>
            </w:r>
          </w:p>
        </w:tc>
      </w:tr>
      <w:tr>
        <w:trPr>
          <w:cantSplit/>
        </w:trPr>
        <w:tc>
          <w:tcPr>
            <w:tcW w:type="pct" w:w="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G7</w:t>
            </w:r>
          </w:p>
        </w:tc>
        <w:tc>
          <w:tcPr>
            <w:tcW w:type="pct" w:w="1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Research Readiness</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Ablations support at least 1 clear contribution; results reproducible</w:t>
            </w:r>
          </w:p>
        </w:tc>
        <w:tc>
          <w:tcPr>
            <w:tcW w:type="pct" w:w="34%"/>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Results are broad but inconclusive</w:t>
            </w:r>
          </w:p>
        </w:tc>
      </w:tr>
    </w:tbl>
    <w:p>
      <w:pPr>
        <w:pStyle w:val="Heading2"/>
        <w:spacing w:after="160" w:before="360"/>
      </w:pPr>
      <w:bookmarkStart w:id="100107" w:name="_Toc100107"/>
      <w:r>
        <w:rPr>
          <w:rFonts w:ascii="Times New Roman" w:eastAsia="SimHei"/>
          <w:b/>
          <w:bCs/>
          <w:color w:val="162032"/>
          <w:sz w:val="28"/>
          <w:szCs w:val="28"/>
        </w:rPr>
        <w:t xml:space="preserve">26. Compute and Reproducibility Plan</w:t>
      </w:r>
      <w:bookmarkEnd w:id="100107"/>
    </w:p>
    <w:p>
      <w:pPr>
        <w:pStyle w:val="Heading3"/>
        <w:spacing w:after="120" w:before="280"/>
      </w:pPr>
      <w:bookmarkStart w:id="100108" w:name="_Toc100108"/>
      <w:r>
        <w:rPr>
          <w:rFonts w:ascii="Times New Roman" w:eastAsia="SimHei"/>
          <w:b/>
          <w:bCs/>
          <w:color w:val="162032"/>
          <w:sz w:val="24"/>
          <w:szCs w:val="24"/>
        </w:rPr>
        <w:t xml:space="preserve">26.1 Compute Budget</w:t>
      </w:r>
      <w:bookmarkEnd w:id="1001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Item</w:t>
            </w:r>
          </w:p>
        </w:tc>
        <w:tc>
          <w:tcPr>
            <w:tcW w:type="pct" w:w="7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Specification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Hardware</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8× NVIDIA A100 (80GB) GPU node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Minimum access period</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 months of active training</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Estimated total GPU-hours</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6,000-15,000 GPU-hours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Data storage</w:t>
            </w:r>
          </w:p>
        </w:tc>
        <w:tc>
          <w:tcPr>
            <w:tcW w:type="pct" w:w="7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~11 TB for 3 regions</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Estimated cloud cost</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$15,000-40,000 (AWS p4d.24xl equivalent)</w:t>
            </w:r>
          </w:p>
        </w:tc>
      </w:tr>
    </w:tbl>
    <w:p>
      <w:pPr>
        <w:pStyle w:val="Heading1"/>
        <w:spacing w:after="200" w:before="480"/>
      </w:pPr>
      <w:bookmarkStart w:id="100109" w:name="_Toc100109"/>
      <w:r>
        <w:rPr>
          <w:rFonts w:ascii="Times New Roman" w:eastAsia="SimHei"/>
          <w:b/>
          <w:bCs/>
          <w:color w:val="162032"/>
          <w:sz w:val="32"/>
          <w:szCs w:val="32"/>
        </w:rPr>
        <w:t xml:space="preserve">Part IX: Risk and Mitigation</w:t>
      </w:r>
      <w:bookmarkEnd w:id="100109"/>
    </w:p>
    <w:p>
      <w:pPr>
        <w:pStyle w:val="Heading2"/>
        <w:spacing w:after="160" w:before="360"/>
      </w:pPr>
      <w:bookmarkStart w:id="100110" w:name="_Toc100110"/>
      <w:r>
        <w:rPr>
          <w:rFonts w:ascii="Times New Roman" w:eastAsia="SimHei"/>
          <w:b/>
          <w:bCs/>
          <w:color w:val="162032"/>
          <w:sz w:val="28"/>
          <w:szCs w:val="28"/>
        </w:rPr>
        <w:t xml:space="preserve">27. Risk Register</w:t>
      </w:r>
      <w:bookmarkEnd w:id="1001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Risk</w:t>
            </w:r>
          </w:p>
        </w:tc>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Severity</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Mitigation</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Fallback</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Overbroad scope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MVRC defined for 52 weeks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Narrow scope further</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R2</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False 10m precision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Multi-resolution datacube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Aggregate to coarser scale</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R3</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Weak ground truth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Select regions by label availability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Use proxy labels with documented uncertainty</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R4</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 overclaiming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DAG; invariance tests; cautious terminology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Treat as interpretability only</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Missing irrigation data</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I_latent latent residual strategy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Treat irrigation as documented confounder</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R6</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loss misspecification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Uncertainty-weighted soft constraints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Report physics as diagnostic only</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R7</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Compute/storage underestimation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Define compute budget before architecture lock</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model size; fewer ablations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R8</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Multimodal alignment errors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Med-High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Strict data QA and visual checks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number of modalities in MVP</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R9</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Too many SSL objectives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Add objectives sequentially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Train objectives separately</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Food-security overreach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Reframed as agricultural production risk</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Remove food-security claims entirely</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 collapse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Embedding variance/rank monitoring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Restart with adjusted hyperparameters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R12</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Negative transfer between SSL tasks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Single-objective ablations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Remove harmful objective</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R13</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Cloud contamination in tropical regions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SAR fallback; monthly composites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Exclude worst-affected regions/seasons</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R14</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lag ambiguity</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Lag-window ablations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Select lag by validation performance</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Crop-mask noise</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Confidence filtering; sensitivity testing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Use high-confidence pixels only</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R16</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Yield-label scale mismatch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Aggregate predictions to label scale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Validate only at label scale</w:t>
            </w:r>
          </w:p>
        </w:tc>
      </w:tr>
      <w:tr>
        <w:trPr>
          <w:cantSplit/>
        </w:trPr>
        <w:tc>
          <w:tcPr>
            <w:tcW w:type="pct" w:w="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R17</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Calibration missing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ECE, Brier score, reliability curves</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Add calibration post-hoc</w:t>
            </w:r>
          </w:p>
        </w:tc>
      </w:tr>
      <w:tr>
        <w:trPr>
          <w:cantSplit/>
        </w:trPr>
        <w:tc>
          <w:tcPr>
            <w:tcW w:type="pct" w:w="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R18</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Domain knowledge gap</w:t>
            </w:r>
          </w:p>
        </w:tc>
        <w:tc>
          <w:tcPr>
            <w:tcW w:type="pct" w:w="1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Medium</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Structured reading track (Weeks 9-12)</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Consult domain experts</w:t>
            </w:r>
          </w:p>
        </w:tc>
      </w:tr>
    </w:tbl>
    <w:p>
      <w:pPr>
        <w:pStyle w:val="Heading2"/>
        <w:spacing w:after="160" w:before="360"/>
      </w:pPr>
      <w:bookmarkStart w:id="100111" w:name="_Toc100111"/>
      <w:r>
        <w:rPr>
          <w:rFonts w:ascii="Times New Roman" w:eastAsia="SimHei"/>
          <w:b/>
          <w:bCs/>
          <w:color w:val="162032"/>
          <w:sz w:val="28"/>
          <w:szCs w:val="28"/>
        </w:rPr>
        <w:t xml:space="preserve">28. Fallback Paths Summary</w:t>
      </w:r>
      <w:bookmarkEnd w:id="10011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Scenario</w:t>
            </w:r>
          </w:p>
        </w:tc>
        <w:tc>
          <w:tcPr>
            <w:tcW w:type="pct" w:w="6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Fallback Action</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harms task performance</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Report physics as diagnostic; claim only task performance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 module fails sign/monotonicity checks</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Treat as interpretability tool; remove causal claims</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 provides no benefit over supervised</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Report supervised results; document SSL as negative finding</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Fusion adds no value over single modality</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Report single-modality results; analyze failure mode</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I_latent is uninterpretable</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Remove I_latent; treat irrigation as documented confounder</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Multi-resolution fusion too complex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Fall back to moderate-resolution (250m-1km) single-grid approach</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 events insufficient in data</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Extend temporal window; include earlier Landsat-era data</w:t>
            </w:r>
          </w:p>
        </w:tc>
      </w:tr>
      <w:tr>
        <w:trPr>
          <w:cantSplit/>
        </w:trPr>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Compute budget exceeded</w:t>
            </w:r>
          </w:p>
        </w:tc>
        <w:tc>
          <w:tcPr>
            <w:tcW w:type="pct" w:w="6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Reduce model size; fewer ablations; single-region study</w:t>
            </w:r>
          </w:p>
        </w:tc>
      </w:tr>
    </w:tbl>
    <w:p>
      <w:pPr>
        <w:pStyle w:val="Heading2"/>
        <w:spacing w:after="160" w:before="360"/>
      </w:pPr>
      <w:bookmarkStart w:id="100112" w:name="_Toc100112"/>
      <w:r>
        <w:rPr>
          <w:rFonts w:ascii="Times New Roman" w:eastAsia="SimHei"/>
          <w:b/>
          <w:bCs/>
          <w:color w:val="162032"/>
          <w:sz w:val="28"/>
          <w:szCs w:val="28"/>
        </w:rPr>
        <w:t xml:space="preserve">29. Ethical and Communication Constraints</w:t>
      </w:r>
      <w:bookmarkEnd w:id="100112"/>
    </w:p>
    <w:p>
      <w:pPr>
        <w:pStyle w:val="Heading3"/>
        <w:spacing w:after="120" w:before="280"/>
      </w:pPr>
      <w:bookmarkStart w:id="100113" w:name="_Toc100113"/>
      <w:r>
        <w:rPr>
          <w:rFonts w:ascii="Times New Roman" w:eastAsia="SimHei"/>
          <w:b/>
          <w:bCs/>
          <w:color w:val="162032"/>
          <w:sz w:val="24"/>
          <w:szCs w:val="24"/>
        </w:rPr>
        <w:t xml:space="preserve">29.1 Allowed Language</w:t>
      </w:r>
      <w:bookmarkEnd w:id="100113"/>
    </w:p>
    <w:p>
      <w:pPr>
        <w:spacing w:after="120" w:line="312"/>
        <w:jc w:val="both"/>
      </w:pPr>
      <w:r>
        <w:rPr>
          <w:rFonts w:ascii="Times New Roman" w:eastAsia="SimSun"/>
          <w:color w:val="000000"/>
          <w:sz w:val="24"/>
          <w:szCs w:val="24"/>
        </w:rPr>
        <w:t xml:space="preserve">Agricultural production-risk prototype. Crop-stress monitoring model. Yield-shortfall risk estimator. Causally informed scenario analysis. Multimodal representation learning framework.</w:t>
      </w:r>
    </w:p>
    <w:p>
      <w:pPr>
        <w:pStyle w:val="Heading3"/>
        <w:spacing w:after="120" w:before="280"/>
      </w:pPr>
      <w:bookmarkStart w:id="100114" w:name="_Toc100114"/>
      <w:r>
        <w:rPr>
          <w:rFonts w:ascii="Times New Roman" w:eastAsia="SimHei"/>
          <w:b/>
          <w:bCs/>
          <w:color w:val="162032"/>
          <w:sz w:val="24"/>
          <w:szCs w:val="24"/>
        </w:rPr>
        <w:t xml:space="preserve">29.2 Prohibited Language (in MVRC/Year 1)</w:t>
      </w:r>
      <w:bookmarkEnd w:id="100114"/>
    </w:p>
    <w:p>
      <w:pPr>
        <w:spacing w:after="120" w:line="312"/>
        <w:jc w:val="both"/>
      </w:pPr>
      <w:r>
        <w:rPr>
          <w:rFonts w:ascii="Times New Roman" w:eastAsia="SimSun"/>
          <w:color w:val="000000"/>
          <w:sz w:val="24"/>
          <w:szCs w:val="24"/>
        </w:rPr>
        <w:t xml:space="preserve">Food-security crisis prediction. Fully causal decision engine. Guaranteed climate adaptation recommendation. Field-level yield truth (if labels are administrative). Operational decision-support system. Validated counterfactual inference.</w:t>
      </w:r>
    </w:p>
    <w:p>
      <w:pPr>
        <w:pStyle w:val="Heading3"/>
        <w:spacing w:after="120" w:before="280"/>
      </w:pPr>
      <w:bookmarkStart w:id="100115" w:name="_Toc100115"/>
      <w:r>
        <w:rPr>
          <w:rFonts w:ascii="Times New Roman" w:eastAsia="SimHei"/>
          <w:b/>
          <w:bCs/>
          <w:color w:val="162032"/>
          <w:sz w:val="24"/>
          <w:szCs w:val="24"/>
        </w:rPr>
        <w:t xml:space="preserve">29.3 Required Disclaimers</w:t>
      </w:r>
      <w:bookmarkEnd w:id="100115"/>
    </w:p>
    <w:p>
      <w:pPr>
        <w:spacing w:after="120" w:line="312"/>
        <w:jc w:val="both"/>
      </w:pPr>
      <w:r>
        <w:rPr>
          <w:rFonts w:ascii="Times New Roman" w:eastAsia="SimSun"/>
          <w:color w:val="000000"/>
          <w:sz w:val="24"/>
          <w:szCs w:val="24"/>
        </w:rPr>
        <w:t xml:space="preserve">All maps and risk outputs must include: uncertainty estimates (prediction intervals or calibrated probabilities), caveats about spatial scale limitations, statement that the model is a research prototype not an operational system, and acknowledgment of data limitations (cloud gaps, coarse resolution, missing irrigation).</w:t>
      </w:r>
    </w:p>
    <w:p>
      <w:pPr>
        <w:pStyle w:val="Heading1"/>
        <w:spacing w:after="200" w:before="480"/>
      </w:pPr>
      <w:bookmarkStart w:id="100116" w:name="_Toc100116"/>
      <w:r>
        <w:rPr>
          <w:rFonts w:ascii="Times New Roman" w:eastAsia="SimHei"/>
          <w:b/>
          <w:bCs/>
          <w:color w:val="162032"/>
          <w:sz w:val="32"/>
          <w:szCs w:val="32"/>
        </w:rPr>
        <w:t xml:space="preserve">Part X: Validation History and Corrections</w:t>
      </w:r>
      <w:bookmarkEnd w:id="100116"/>
    </w:p>
    <w:p>
      <w:pPr>
        <w:pStyle w:val="Heading2"/>
        <w:spacing w:after="160" w:before="360"/>
      </w:pPr>
      <w:bookmarkStart w:id="100117" w:name="_Toc100117"/>
      <w:r>
        <w:rPr>
          <w:rFonts w:ascii="Times New Roman" w:eastAsia="SimHei"/>
          <w:b/>
          <w:bCs/>
          <w:color w:val="162032"/>
          <w:sz w:val="28"/>
          <w:szCs w:val="28"/>
        </w:rPr>
        <w:t xml:space="preserve">30. Blocker Resolutions (All Resolved)</w:t>
      </w:r>
      <w:bookmarkEnd w:id="100117"/>
    </w:p>
    <w:p>
      <w:pPr>
        <w:pStyle w:val="Heading3"/>
        <w:spacing w:after="120" w:before="280"/>
      </w:pPr>
      <w:bookmarkStart w:id="100118" w:name="_Toc100118"/>
      <w:r>
        <w:rPr>
          <w:rFonts w:ascii="Times New Roman" w:eastAsia="SimHei"/>
          <w:b/>
          <w:bCs/>
          <w:color w:val="162032"/>
          <w:sz w:val="24"/>
          <w:szCs w:val="24"/>
        </w:rPr>
        <w:t xml:space="preserve">30.1 B1: DAG Cycle — RESOLVED</w:t>
      </w:r>
      <w:bookmarkEnd w:id="100118"/>
    </w:p>
    <w:p>
      <w:pPr>
        <w:spacing w:after="120" w:line="312"/>
        <w:jc w:val="both"/>
      </w:pPr>
      <w:r>
        <w:rPr>
          <w:rFonts w:ascii="Times New Roman" w:eastAsia="SimSun"/>
          <w:color w:val="000000"/>
          <w:sz w:val="24"/>
          <w:szCs w:val="24"/>
        </w:rPr>
        <w:t xml:space="preserve">Original problem: Bidirectional edge VH ↔ CS at same time step violated DAG acyclicity. Resolution: Temporal DAG with VH(t) → CS(t+1) and CS(t) → VH(t) (no same-time bidirectionality). Validation: Check graph acyclicity after temporal unrolling. Fallback: Remove causal module from MVRC; keep interpretability only.</w:t>
      </w:r>
    </w:p>
    <w:p>
      <w:pPr>
        <w:pStyle w:val="Heading3"/>
        <w:spacing w:after="120" w:before="280"/>
      </w:pPr>
      <w:bookmarkStart w:id="100119" w:name="_Toc100119"/>
      <w:r>
        <w:rPr>
          <w:rFonts w:ascii="Times New Roman" w:eastAsia="SimHei"/>
          <w:b/>
          <w:bCs/>
          <w:color w:val="162032"/>
          <w:sz w:val="24"/>
          <w:szCs w:val="24"/>
        </w:rPr>
        <w:t xml:space="preserve">30.2 B2: Timeline Realism — RESOLVED</w:t>
      </w:r>
      <w:bookmarkEnd w:id="100119"/>
    </w:p>
    <w:p>
      <w:pPr>
        <w:spacing w:after="120" w:line="312"/>
        <w:jc w:val="both"/>
      </w:pPr>
      <w:r>
        <w:rPr>
          <w:rFonts w:ascii="Times New Roman" w:eastAsia="SimSun"/>
          <w:color w:val="000000"/>
          <w:sz w:val="24"/>
          <w:szCs w:val="24"/>
        </w:rPr>
        <w:t xml:space="preserve">Original problem: 52 weeks insufficient for full plan; realistic timeline 70-80 weeks. Resolution: Define MVRC for 52 weeks; full plan as 24-month vision. Validation: Milestone review every 8 weeks. Fallback: Convert causal/counterfactual to future work section.</w:t>
      </w:r>
    </w:p>
    <w:p>
      <w:pPr>
        <w:pStyle w:val="Heading3"/>
        <w:spacing w:after="120" w:before="280"/>
      </w:pPr>
      <w:bookmarkStart w:id="100120" w:name="_Toc100120"/>
      <w:r>
        <w:rPr>
          <w:rFonts w:ascii="Times New Roman" w:eastAsia="SimHei"/>
          <w:b/>
          <w:bCs/>
          <w:color w:val="162032"/>
          <w:sz w:val="24"/>
          <w:szCs w:val="24"/>
        </w:rPr>
        <w:t xml:space="preserve">30.3 B3: Irrigation Data Gap — RESOLVED</w:t>
      </w:r>
      <w:bookmarkEnd w:id="100120"/>
    </w:p>
    <w:p>
      <w:pPr>
        <w:spacing w:after="120" w:line="312"/>
        <w:jc w:val="both"/>
      </w:pPr>
      <w:r>
        <w:rPr>
          <w:rFonts w:ascii="Times New Roman" w:eastAsia="SimSun"/>
          <w:color w:val="000000"/>
          <w:sz w:val="24"/>
          <w:szCs w:val="24"/>
        </w:rPr>
        <w:t xml:space="preserve">Original problem: No reliable global irrigation data at fine scales. Resolution: I_latent — latent residual water-input inference term (NOT irrigation detection). Validation: Compare residual anomalies with irrigation maps where available. Fallback: Treat irrigation as documented confounder/uncertainty source.</w:t>
      </w:r>
    </w:p>
    <w:p>
      <w:pPr>
        <w:pStyle w:val="Heading3"/>
        <w:spacing w:after="120" w:before="280"/>
      </w:pPr>
      <w:bookmarkStart w:id="100121" w:name="_Toc100121"/>
      <w:r>
        <w:rPr>
          <w:rFonts w:ascii="Times New Roman" w:eastAsia="SimHei"/>
          <w:b/>
          <w:bCs/>
          <w:color w:val="162032"/>
          <w:sz w:val="24"/>
          <w:szCs w:val="24"/>
        </w:rPr>
        <w:t xml:space="preserve">30.4 B4: Food-Security Overreach — RESOLVED</w:t>
      </w:r>
      <w:bookmarkEnd w:id="100121"/>
    </w:p>
    <w:p>
      <w:pPr>
        <w:spacing w:after="120" w:line="312"/>
        <w:jc w:val="both"/>
      </w:pPr>
      <w:r>
        <w:rPr>
          <w:rFonts w:ascii="Times New Roman" w:eastAsia="SimSun"/>
          <w:color w:val="000000"/>
          <w:sz w:val="24"/>
          <w:szCs w:val="24"/>
        </w:rPr>
        <w:t xml:space="preserve">Original problem: Food-security risk requires socioeconomic data not included in model. Resolution: Reframed as agricultural production risk / yield-shortfall risk. Validation: No food-security claims without socioeconomic data. Fallback: Add food-security layer only in Phase 2 extension.</w:t>
      </w:r>
    </w:p>
    <w:p>
      <w:pPr>
        <w:pStyle w:val="Heading2"/>
        <w:spacing w:after="160" w:before="360"/>
      </w:pPr>
      <w:bookmarkStart w:id="100122" w:name="_Toc100122"/>
      <w:r>
        <w:rPr>
          <w:rFonts w:ascii="Times New Roman" w:eastAsia="SimHei"/>
          <w:b/>
          <w:bCs/>
          <w:color w:val="162032"/>
          <w:sz w:val="28"/>
          <w:szCs w:val="28"/>
        </w:rPr>
        <w:t xml:space="preserve">31. High-Priority Resolutions (All Resolved)</w:t>
      </w:r>
      <w:bookmarkEnd w:id="100122"/>
    </w:p>
    <w:p>
      <w:pPr>
        <w:spacing w:after="120" w:line="312"/>
        <w:jc w:val="both"/>
      </w:pPr>
      <w:r>
        <w:rPr>
          <w:rFonts w:ascii="Times New Roman" w:eastAsia="SimSun"/>
          <w:color w:val="000000"/>
          <w:sz w:val="24"/>
          <w:szCs w:val="24"/>
        </w:rPr>
        <w:t xml:space="preserve">H1 (Forced 10m harmonization): Multi-resolution datacube with scale-aware fusion adopted. No coarse variables interpreted as true 10m signals. H2 (Loss weighting unspecified): Weighted loss with curriculum scheduling; warm-up for physics and causal losses. H3 (Process-model baseline absent): Added simple physics baselines (GDD, SPI/SPEI/VHI); DSSAT/APSIM if data allow. H4 (Missing modality protocol): Modality masks + learned missing-modality tokens + modality dropout. H5 (Tier 3 validation undefined): Full metrics defined for physics and causal plausibility.</w:t>
      </w:r>
    </w:p>
    <w:p>
      <w:pPr>
        <w:pStyle w:val="Heading2"/>
        <w:spacing w:after="160" w:before="360"/>
      </w:pPr>
      <w:bookmarkStart w:id="100123" w:name="_Toc100123"/>
      <w:r>
        <w:rPr>
          <w:rFonts w:ascii="Times New Roman" w:eastAsia="SimHei"/>
          <w:b/>
          <w:bCs/>
          <w:color w:val="162032"/>
          <w:sz w:val="28"/>
          <w:szCs w:val="28"/>
        </w:rPr>
        <w:t xml:space="preserve">32. Medium-Priority Resolutions (All Resolved)</w:t>
      </w:r>
      <w:bookmarkEnd w:id="10012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Issue</w:t>
            </w:r>
          </w:p>
        </w:tc>
        <w:tc>
          <w:tcPr>
            <w:tcW w:type="pct" w:w="7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 collapse risk</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Embedding variance/rank/covariance spectrum monitoring with restart protocol</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Negative transfer</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Single-objective ablations; remove harmful objectives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Cloud contamination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Cloud threshold + SAR/monthly fallback; report valid-observation statistics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lag ambiguity</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Lag-window ablations; select by validation performance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Crop-mask noise</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Confidence filtering; sensitivity testing with high-confidence pixels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Yield scale mismatch</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Aggregate predictions to label scale for validation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Calibration missing</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ECE, Brier score, reliability curves, prediction interval coverage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Compute unknown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GPU-hour and storage estimates; compute budget locked before training</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Domain knowledge gap</w:t>
            </w:r>
          </w:p>
        </w:tc>
        <w:tc>
          <w:tcPr>
            <w:tcW w:type="pct" w:w="7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Agronomy/drought/phenology reading track in Weeks 9-12</w:t>
            </w:r>
          </w:p>
        </w:tc>
      </w:tr>
    </w:tbl>
    <w:p>
      <w:pPr>
        <w:pStyle w:val="Heading2"/>
        <w:spacing w:after="160" w:before="360"/>
      </w:pPr>
      <w:bookmarkStart w:id="100124" w:name="_Toc100124"/>
      <w:r>
        <w:rPr>
          <w:rFonts w:ascii="Times New Roman" w:eastAsia="SimHei"/>
          <w:b/>
          <w:bCs/>
          <w:color w:val="162032"/>
          <w:sz w:val="28"/>
          <w:szCs w:val="28"/>
        </w:rPr>
        <w:t xml:space="preserve">33. Terminology Corrections</w:t>
      </w:r>
      <w:bookmarkEnd w:id="10012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Original Term</w:t>
            </w:r>
          </w:p>
        </w:tc>
        <w:tc>
          <w:tcPr>
            <w:tcW w:type="pct" w:w="3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Corrected Term</w:t>
            </w:r>
          </w:p>
        </w:tc>
        <w:tc>
          <w:tcPr>
            <w:tcW w:type="pct" w:w="34%"/>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Reason</w:t>
            </w:r>
          </w:p>
        </w:tc>
      </w:tr>
      <w:tr>
        <w:trPr>
          <w:cantSplit/>
        </w:trPr>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 foundation model</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Causally informed agro-ecosystem foundation prototype</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Avoids overclaiming until causal validation is strong</w:t>
            </w:r>
          </w:p>
        </w:tc>
      </w:tr>
      <w:tr>
        <w:trPr>
          <w:cantSplit/>
        </w:trPr>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Food-security risk</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Agricultural production risk / yield-shortfall risk</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Food security requires socioeconomic data not in model</w:t>
            </w:r>
          </w:p>
        </w:tc>
      </w:tr>
      <w:tr>
        <w:trPr>
          <w:cantSplit/>
        </w:trPr>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Counterfactual SSL</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Physics-constrained scenario augmentation</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Synthetic interventions are not strict SSL</w:t>
            </w:r>
          </w:p>
        </w:tc>
      </w:tr>
      <w:tr>
        <w:trPr>
          <w:cantSplit/>
        </w:trPr>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Global cross-region generalization</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Transfer across selected contrasting agro-climatic regions</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Makes claim testable within available time/data</w:t>
            </w:r>
          </w:p>
        </w:tc>
      </w:tr>
      <w:tr>
        <w:trPr>
          <w:cantSplit/>
        </w:trPr>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Irrigation detection</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Latent unobserved water-input / residual-water anomaly inference</w:t>
            </w:r>
          </w:p>
        </w:tc>
        <w:tc>
          <w:tcPr>
            <w:tcW w:type="pct" w:w="34%"/>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Residuals are not uniquely irrigation</w:t>
            </w:r>
          </w:p>
        </w:tc>
      </w:tr>
      <w:tr>
        <w:trPr>
          <w:cantSplit/>
        </w:trPr>
        <w:tc>
          <w:tcPr>
            <w:tcW w:type="pct" w:w="2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Counterfactual inference</w:t>
            </w:r>
          </w:p>
        </w:tc>
        <w:tc>
          <w:tcPr>
            <w:tcW w:type="pct" w:w="3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Scenario simulation (Year 1)</w:t>
            </w:r>
          </w:p>
        </w:tc>
        <w:tc>
          <w:tcPr>
            <w:tcW w:type="pct" w:w="34%"/>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Until validated with intervention-style evidence</w:t>
            </w:r>
          </w:p>
        </w:tc>
      </w:tr>
    </w:tbl>
    <w:p>
      <w:pPr>
        <w:pStyle w:val="Heading2"/>
        <w:spacing w:after="160" w:before="360"/>
      </w:pPr>
      <w:bookmarkStart w:id="100125" w:name="_Toc100125"/>
      <w:r>
        <w:rPr>
          <w:rFonts w:ascii="Times New Roman" w:eastAsia="SimHei"/>
          <w:b/>
          <w:bCs/>
          <w:color w:val="162032"/>
          <w:sz w:val="28"/>
          <w:szCs w:val="28"/>
        </w:rPr>
        <w:t xml:space="preserve">34. Reference Corrections</w:t>
      </w:r>
      <w:bookmarkEnd w:id="10012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Reference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Original</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Correction</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Ref [10]</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Reichstein et al., 2020</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Year should be 2019 (Reichstein et al., Nature, 2019)</w:t>
            </w:r>
          </w:p>
        </w:tc>
      </w:tr>
      <w:tr>
        <w:trPr>
          <w:cantSplit/>
        </w:trPr>
        <w:tc>
          <w:tcPr>
            <w:tcW w:type="pct" w:w="1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Ref [13]</w:t>
            </w:r>
          </w:p>
        </w:tc>
        <w:tc>
          <w:tcPr>
            <w:tcW w:type="pct" w:w="4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Xiong et al., arXiv:2210.00035</w:t>
            </w:r>
          </w:p>
        </w:tc>
        <w:tc>
          <w:tcPr>
            <w:tcW w:type="pct" w:w="4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Author should be verified — likely Xia et al.</w:t>
            </w:r>
          </w:p>
        </w:tc>
      </w:tr>
    </w:tbl>
    <w:p>
      <w:pPr>
        <w:pStyle w:val="Heading1"/>
        <w:spacing w:after="200" w:before="480"/>
      </w:pPr>
      <w:bookmarkStart w:id="100126" w:name="_Toc100126"/>
      <w:r>
        <w:rPr>
          <w:rFonts w:ascii="Times New Roman" w:eastAsia="SimHei"/>
          <w:b/>
          <w:bCs/>
          <w:color w:val="162032"/>
          <w:sz w:val="32"/>
          <w:szCs w:val="32"/>
        </w:rPr>
        <w:t xml:space="preserve">Appendices</w:t>
      </w:r>
      <w:bookmarkEnd w:id="100126"/>
    </w:p>
    <w:p>
      <w:pPr>
        <w:pStyle w:val="Heading2"/>
        <w:spacing w:after="160" w:before="360"/>
      </w:pPr>
      <w:bookmarkStart w:id="100127" w:name="_Toc100127"/>
      <w:r>
        <w:rPr>
          <w:rFonts w:ascii="Times New Roman" w:eastAsia="SimHei"/>
          <w:b/>
          <w:bCs/>
          <w:color w:val="162032"/>
          <w:sz w:val="28"/>
          <w:szCs w:val="28"/>
        </w:rPr>
        <w:t xml:space="preserve">Appendix A: Complete Terminology Mapping</w:t>
      </w:r>
      <w:bookmarkEnd w:id="10012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Concept</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Final Term</w:t>
            </w:r>
          </w:p>
        </w:tc>
        <w:tc>
          <w:tcPr>
            <w:tcW w:type="pct" w:w="4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Context</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The model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AgroEarthFM</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Self-Supervised Multimodal Physics-Informed Causal Geo Foundation Model</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First-year scope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MVRC</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Minimum Viable Research Contribution</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Architecture approach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Staged implementation</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Components added sequentially with gating</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Causal framework</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Temporal DAG</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Time-indexed directed acyclic graph</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Physics approach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Weak uncertainty-weighted regularization</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Not hard constraints; soft penalties</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 approach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Process-centered</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Objectives designed around agro-ecosystem processes</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Data approach</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Multi-resolution datacube</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Variables at native scales; scale-aware fusion</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Irrigation handling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I_latent</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Latent residual water-input inference</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Counterfactual</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Scenario augmentation</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Year 1 only; not validated counterfactual inference</w:t>
            </w:r>
          </w:p>
        </w:tc>
      </w:tr>
      <w:tr>
        <w:trPr>
          <w:cantSplit/>
        </w:trPr>
        <w:tc>
          <w:tcPr>
            <w:tcW w:type="pct" w:w="22%"/>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Evaluation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3-tier + calibration</w:t>
            </w:r>
          </w:p>
        </w:tc>
        <w:tc>
          <w:tcPr>
            <w:tcW w:type="pct" w:w="4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Representation, downstream, physics/causal, calibration</w:t>
            </w:r>
          </w:p>
        </w:tc>
      </w:tr>
      <w:tr>
        <w:trPr>
          <w:cantSplit/>
        </w:trPr>
        <w:tc>
          <w:tcPr>
            <w:tcW w:type="pct" w:w="22%"/>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Output scope</w:t>
            </w:r>
          </w:p>
        </w:tc>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Agricultural production risk</w:t>
            </w:r>
          </w:p>
        </w:tc>
        <w:tc>
          <w:tcPr>
            <w:tcW w:type="pct" w:w="4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Not food-security risk</w:t>
            </w:r>
          </w:p>
        </w:tc>
      </w:tr>
    </w:tbl>
    <w:p>
      <w:pPr>
        <w:pStyle w:val="Heading2"/>
        <w:spacing w:after="160" w:before="360"/>
      </w:pPr>
      <w:bookmarkStart w:id="100128" w:name="_Toc100128"/>
      <w:r>
        <w:rPr>
          <w:rFonts w:ascii="Times New Roman" w:eastAsia="SimHei"/>
          <w:b/>
          <w:bCs/>
          <w:color w:val="162032"/>
          <w:sz w:val="28"/>
          <w:szCs w:val="28"/>
        </w:rPr>
        <w:t xml:space="preserve">Appendix B: Complete Variable Catalog</w:t>
      </w:r>
      <w:bookmarkEnd w:id="100128"/>
    </w:p>
    <w:p>
      <w:pPr>
        <w:pStyle w:val="Heading3"/>
        <w:spacing w:after="120" w:before="280"/>
      </w:pPr>
      <w:bookmarkStart w:id="100129" w:name="_Toc100129"/>
      <w:r>
        <w:rPr>
          <w:rFonts w:ascii="Times New Roman" w:eastAsia="SimHei"/>
          <w:b/>
          <w:bCs/>
          <w:color w:val="162032"/>
          <w:sz w:val="24"/>
          <w:szCs w:val="24"/>
        </w:rPr>
        <w:t xml:space="preserve">B.1 Satellite Variables</w:t>
      </w:r>
      <w:bookmarkEnd w:id="10012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Variable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Temporal</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B2 (Blue, 490nm)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B3 (Green, 560nm)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B4 (Red, 665nm)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B5 (Red Edge 1, 705nm)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B6 (Red Edge 2, 740nm)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B7 (Red Edge 3, 783nm)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B8 (NIR, 842nm)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10m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B8A (Narrow NIR, 865nm)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B11 (SWIR 1, 1610nm)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B12 (SWIR 2, 2190nm)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L2A</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HLS reflectance</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HLSL30/HLSS30</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30m</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5-day</w:t>
            </w:r>
          </w:p>
        </w:tc>
      </w:tr>
    </w:tbl>
    <w:p>
      <w:pPr>
        <w:pStyle w:val="Heading3"/>
        <w:spacing w:after="120" w:before="280"/>
      </w:pPr>
      <w:bookmarkStart w:id="100130" w:name="_Toc100130"/>
      <w:r>
        <w:rPr>
          <w:rFonts w:ascii="Times New Roman" w:eastAsia="SimHei"/>
          <w:b/>
          <w:bCs/>
          <w:color w:val="162032"/>
          <w:sz w:val="24"/>
          <w:szCs w:val="24"/>
        </w:rPr>
        <w:t xml:space="preserve">B.2 Climate Variables</w:t>
      </w:r>
      <w:bookmarkEnd w:id="10013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Variable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Temporal</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T_min, T_max, T_mean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~31km</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 → 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Total precipitation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ERA5/CHIRPS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~31km/~5km</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 → 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Wind speed (u, v)</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~31km</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 → 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Relative humidity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~31km</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 → 5-day</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Solar radiation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~31km</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Daily → 5-day</w:t>
            </w:r>
          </w:p>
        </w:tc>
      </w:tr>
      <w:tr>
        <w:trPr>
          <w:cantSplit/>
        </w:trPr>
        <w:tc>
          <w:tcPr>
            <w:tcW w:type="pct" w:w="3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ET0 (Penman-Monteith)</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Computed from ERA5</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~31km</w:t>
            </w:r>
          </w:p>
        </w:tc>
        <w:tc>
          <w:tcPr>
            <w:tcW w:type="pct" w:w="20%"/>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Daily → 5-day</w:t>
            </w:r>
          </w:p>
        </w:tc>
      </w:tr>
    </w:tbl>
    <w:p>
      <w:pPr>
        <w:pStyle w:val="Heading3"/>
        <w:spacing w:after="120" w:before="280"/>
      </w:pPr>
      <w:bookmarkStart w:id="100131" w:name="_Toc100131"/>
      <w:r>
        <w:rPr>
          <w:rFonts w:ascii="Times New Roman" w:eastAsia="SimHei"/>
          <w:b/>
          <w:bCs/>
          <w:color w:val="162032"/>
          <w:sz w:val="24"/>
          <w:szCs w:val="24"/>
        </w:rPr>
        <w:t xml:space="preserve">B.3 Soil Variables</w:t>
      </w:r>
      <w:bookmarkEnd w:id="10013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Variable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Source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Resolution</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Temporal</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Clay content</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Sand content</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Organic carbon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CEC</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Bulk density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Soil depth</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~250m</w:t>
            </w:r>
          </w:p>
        </w:tc>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Static</w:t>
            </w:r>
          </w:p>
        </w:tc>
      </w:tr>
    </w:tbl>
    <w:p>
      <w:pPr>
        <w:pStyle w:val="Heading2"/>
        <w:spacing w:after="160" w:before="360"/>
      </w:pPr>
      <w:bookmarkStart w:id="100132" w:name="_Toc100132"/>
      <w:r>
        <w:rPr>
          <w:rFonts w:ascii="Times New Roman" w:eastAsia="SimHei"/>
          <w:b/>
          <w:bCs/>
          <w:color w:val="162032"/>
          <w:sz w:val="28"/>
          <w:szCs w:val="28"/>
        </w:rPr>
        <w:t xml:space="preserve">Appendix C: Data License Summary</w:t>
      </w:r>
      <w:bookmarkEnd w:id="10013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Data Source</w:t>
            </w:r>
          </w:p>
        </w:tc>
        <w:tc>
          <w:tcPr>
            <w:tcW w:type="pct" w:w="38%"/>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License</w:t>
            </w:r>
          </w:p>
        </w:tc>
        <w:tc>
          <w:tcPr>
            <w:tcW w:type="pct" w:w="37%"/>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Access Restriction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CC-BY-SA 4.0 / Copernicus</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HLS</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 (NASA/USGS)</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Landsat 8/9</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 (USGS)</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ERA5</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CC-BY-4.0 (Copernicus)</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with registration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CHIRPS</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SoilGrids</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CC-BY 4.0 (ISRIC)</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SMAP</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NASA Earthdata</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with registration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ESA CCI SM</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CC-BY-SA 4.0</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GRACE</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NASA JPL</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with registration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USDA NASS</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 (US Gov)</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ICRISAT</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Varies</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Generally open for research</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Eurostat</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CC-BY 4.0</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with attribution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CDL</w:t>
            </w:r>
          </w:p>
        </w:tc>
        <w:tc>
          <w:tcPr>
            <w:tcW w:type="pct" w:w="38%"/>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Public domain (USDA)</w:t>
            </w:r>
          </w:p>
        </w:tc>
        <w:tc>
          <w:tcPr>
            <w:tcW w:type="pct" w:w="37%"/>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Free, open access</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ESA WorldCereal</w:t>
            </w:r>
          </w:p>
        </w:tc>
        <w:tc>
          <w:tcPr>
            <w:tcW w:type="pct" w:w="38%"/>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ESA license</w:t>
            </w:r>
          </w:p>
        </w:tc>
        <w:tc>
          <w:tcPr>
            <w:tcW w:type="pct" w:w="37%"/>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Free for research</w:t>
            </w:r>
          </w:p>
        </w:tc>
      </w:tr>
    </w:tbl>
    <w:p>
      <w:pPr>
        <w:pStyle w:val="Heading2"/>
        <w:spacing w:after="160" w:before="360"/>
      </w:pPr>
      <w:bookmarkStart w:id="100133" w:name="_Toc100133"/>
      <w:r>
        <w:rPr>
          <w:rFonts w:ascii="Times New Roman" w:eastAsia="SimHei"/>
          <w:b/>
          <w:bCs/>
          <w:color w:val="162032"/>
          <w:sz w:val="28"/>
          <w:szCs w:val="28"/>
        </w:rPr>
        <w:t xml:space="preserve">Appendix D: Domain Knowledge Checklist (Weeks 9-12)</w:t>
      </w:r>
      <w:bookmarkEnd w:id="100133"/>
    </w:p>
    <w:p>
      <w:pPr>
        <w:pStyle w:val="Heading3"/>
        <w:spacing w:after="120" w:before="280"/>
      </w:pPr>
      <w:bookmarkStart w:id="100134" w:name="_Toc100134"/>
      <w:r>
        <w:rPr>
          <w:rFonts w:ascii="Times New Roman" w:eastAsia="SimHei"/>
          <w:b/>
          <w:bCs/>
          <w:color w:val="162032"/>
          <w:sz w:val="24"/>
          <w:szCs w:val="24"/>
        </w:rPr>
        <w:t xml:space="preserve">D.1 Agronomy Fundamentals</w:t>
      </w:r>
      <w:bookmarkEnd w:id="10013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Topic</w:t>
            </w:r>
          </w:p>
        </w:tc>
        <w:tc>
          <w:tcPr>
            <w:tcW w:type="pct" w:w="7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Understanding Required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phenology stages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Wheat: Tillering, Stem Extension, Heading, Flowering, Grain Fill, Maturity; Maize: Emergence, V1-VT, Silking R1, Grain Fill R2-R6, Maturity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GDD / thermal time</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Accumulated growing degree days; base temperatures; role in phenology prediction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Crop stress mechanisms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 heat, combined stress; stage-specific sensitivity; stress accumulation effects</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Yield formation</w:t>
            </w:r>
          </w:p>
        </w:tc>
        <w:tc>
          <w:tcPr>
            <w:tcW w:type="pct" w:w="7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Source-sink relationships; yield components; critical periods for yield determination</w:t>
            </w:r>
          </w:p>
        </w:tc>
      </w:tr>
    </w:tbl>
    <w:p>
      <w:pPr>
        <w:pStyle w:val="Heading3"/>
        <w:spacing w:after="120" w:before="280"/>
      </w:pPr>
      <w:bookmarkStart w:id="100135" w:name="_Toc100135"/>
      <w:r>
        <w:rPr>
          <w:rFonts w:ascii="Times New Roman" w:eastAsia="SimHei"/>
          <w:b/>
          <w:bCs/>
          <w:color w:val="162032"/>
          <w:sz w:val="24"/>
          <w:szCs w:val="24"/>
        </w:rPr>
        <w:t xml:space="preserve">D.2 Drought Science</w:t>
      </w:r>
      <w:bookmarkEnd w:id="10013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Topic</w:t>
            </w:r>
          </w:p>
        </w:tc>
        <w:tc>
          <w:tcPr>
            <w:tcW w:type="pct" w:w="7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Understanding Required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 types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Meteorological, agricultural, hydrological, socioeconomic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 indices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SPI, SPEI, VHI, PDSI, soil moisture percentiles; calculation and interpretation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Drought propagation</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Climate → Soil moisture → Vegetation → Crop → Yield; time lags and memory effects</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ET and water balance</w:t>
            </w:r>
          </w:p>
        </w:tc>
        <w:tc>
          <w:tcPr>
            <w:tcW w:type="pct" w:w="7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Penman-Monteith ET; FAO crop coefficients; soil water balance components</w:t>
            </w:r>
          </w:p>
        </w:tc>
      </w:tr>
    </w:tbl>
    <w:p>
      <w:pPr>
        <w:pStyle w:val="Heading3"/>
        <w:spacing w:after="120" w:before="280"/>
      </w:pPr>
      <w:bookmarkStart w:id="100136" w:name="_Toc100136"/>
      <w:r>
        <w:rPr>
          <w:rFonts w:ascii="Times New Roman" w:eastAsia="SimHei"/>
          <w:b/>
          <w:bCs/>
          <w:color w:val="162032"/>
          <w:sz w:val="24"/>
          <w:szCs w:val="24"/>
        </w:rPr>
        <w:t xml:space="preserve">D.3 Remote Sensing for Agriculture</w:t>
      </w:r>
      <w:bookmarkEnd w:id="10013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Topic</w:t>
            </w:r>
          </w:p>
        </w:tc>
        <w:tc>
          <w:tcPr>
            <w:tcW w:type="pct" w:w="7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Understanding Required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Sentinel-2 for agriculture</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Band selection, spectral indices, compositing, cloud masking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Phenology from satellite</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NDVI/EVI time-series analysis; transition detection methods; noise and uncertainty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SAR for agriculture</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Sentinel-1 backscatter; soil moisture estimation; cloud-penetrating capability</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Data harmonization</w:t>
            </w:r>
          </w:p>
        </w:tc>
        <w:tc>
          <w:tcPr>
            <w:tcW w:type="pct" w:w="7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HLS harmonization approach; cross-sensor calibration; temporal gap-filling</w:t>
            </w:r>
          </w:p>
        </w:tc>
      </w:tr>
    </w:tbl>
    <w:p>
      <w:pPr>
        <w:pStyle w:val="Heading3"/>
        <w:spacing w:after="120" w:before="280"/>
      </w:pPr>
      <w:bookmarkStart w:id="100137" w:name="_Toc100137"/>
      <w:r>
        <w:rPr>
          <w:rFonts w:ascii="Times New Roman" w:eastAsia="SimHei"/>
          <w:b/>
          <w:bCs/>
          <w:color w:val="162032"/>
          <w:sz w:val="24"/>
          <w:szCs w:val="24"/>
        </w:rPr>
        <w:t xml:space="preserve">D.4 Foundation Models and SSL</w:t>
      </w:r>
      <w:bookmarkEnd w:id="10013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Topic</w:t>
            </w:r>
          </w:p>
        </w:tc>
        <w:tc>
          <w:tcPr>
            <w:tcW w:type="pct" w:w="75%"/>
            <w:tcBorders>
              <w:top w:val="single" w:color="000000" w:sz="4"/>
              <w:left w:val="none" w:color="FFFFFF" w:sz="0"/>
              <w:bottom w:val="single" w:color="000000" w:sz="2"/>
              <w:right w:val="none" w:color="FFFFFF" w:sz="0"/>
            </w:tcBorders>
            <w:tcMar>
              <w:top w:type="dxa" w:w="60"/>
              <w:left w:type="dxa" w:w="120"/>
              <w:bottom w:type="dxa" w:w="60"/>
              <w:right w:type="dxa" w:w="120"/>
            </w:tcMar>
          </w:tcPr>
          <w:p>
            <w:r>
              <w:rPr>
                <w:rFonts w:ascii="Times New Roman" w:eastAsia="SimHei"/>
                <w:b/>
                <w:bCs/>
                <w:color w:val="000000"/>
                <w:sz w:val="21"/>
                <w:szCs w:val="21"/>
              </w:rPr>
              <w:t xml:space="preserve">Minimum Understanding Required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Geospatial foundation models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SatMAE, DOFA, PhilEO, TerraFM, Presto, etc.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SSL methods</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MAE, SimCLR, DINO, BYOL; masked reconstruction vs. contrastive learning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Multimodal SSL</w:t>
            </w:r>
          </w:p>
        </w:tc>
        <w:tc>
          <w:tcPr>
            <w:tcW w:type="pct" w:w="75%"/>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Times New Roman" w:eastAsia="SimSun"/>
                <w:color w:val="000000"/>
                <w:sz w:val="21"/>
                <w:szCs w:val="21"/>
              </w:rPr>
              <w:t xml:space="preserve">Cross-modal prediction; modality alignment; missing modality handling</w:t>
            </w:r>
          </w:p>
        </w:tc>
      </w:tr>
      <w:tr>
        <w:trPr>
          <w:cantSplit/>
        </w:trPr>
        <w:tc>
          <w:tcPr>
            <w:tcW w:type="pct" w:w="2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Transfer learning</w:t>
            </w:r>
          </w:p>
        </w:tc>
        <w:tc>
          <w:tcPr>
            <w:tcW w:type="pct" w:w="75%"/>
            <w:tcBorders>
              <w:top w:val="none" w:color="FFFFFF" w:sz="0"/>
              <w:left w:val="none" w:color="FFFFFF" w:sz="0"/>
              <w:bottom w:val="single" w:color="000000" w:sz="4"/>
              <w:right w:val="none" w:color="FFFFFF" w:sz="0"/>
            </w:tcBorders>
            <w:tcMar>
              <w:top w:type="dxa" w:w="40"/>
              <w:left w:type="dxa" w:w="120"/>
              <w:bottom w:type="dxa" w:w="40"/>
              <w:right w:type="dxa" w:w="120"/>
            </w:tcMar>
          </w:tcPr>
          <w:p>
            <w:r>
              <w:rPr>
                <w:rFonts w:ascii="Times New Roman" w:eastAsia="SimSun"/>
                <w:color w:val="000000"/>
                <w:sz w:val="21"/>
                <w:szCs w:val="21"/>
              </w:rPr>
              <w:t xml:space="preserve">Linear probing, fine-tuning, domain adaptation, OOD evaluation</w:t>
            </w:r>
          </w:p>
        </w:tc>
      </w:tr>
    </w:tbl>
    <w:p>
      <w:pPr>
        <w:pStyle w:val="Heading2"/>
        <w:spacing w:after="160" w:before="360"/>
      </w:pPr>
      <w:bookmarkStart w:id="100138" w:name="_Toc100138"/>
      <w:r>
        <w:rPr>
          <w:rFonts w:ascii="Times New Roman" w:eastAsia="SimHei"/>
          <w:b/>
          <w:bCs/>
          <w:color w:val="162032"/>
          <w:sz w:val="28"/>
          <w:szCs w:val="28"/>
        </w:rPr>
        <w:t xml:space="preserve">Appendix E: Key Equations Summary</w:t>
      </w:r>
      <w:bookmarkEnd w:id="100138"/>
    </w:p>
    <w:p>
      <w:pPr>
        <w:spacing w:after="120" w:line="312"/>
        <w:jc w:val="both"/>
      </w:pPr>
      <w:r>
        <w:rPr>
          <w:rFonts w:ascii="Times New Roman" w:eastAsia="SimSun"/>
          <w:b/>
          <w:bCs/>
          <w:color w:val="000000"/>
          <w:sz w:val="24"/>
          <w:szCs w:val="24"/>
        </w:rPr>
        <w:t xml:space="preserve">E.1 Water Balance</w:t>
      </w:r>
    </w:p>
    <w:p>
      <w:pPr>
        <w:spacing w:after="80" w:line="276"/>
        <w:ind w:left="480"/>
        <w:jc w:val="left"/>
      </w:pPr>
      <w:r>
        <w:rPr>
          <w:rFonts w:ascii="Courier New" w:eastAsia="Courier New"/>
          <w:color w:val="333333"/>
          <w:sz w:val="20"/>
          <w:szCs w:val="20"/>
        </w:rPr>
        <w:t xml:space="preserve">ΔSM = P + I_latent - ET - R - D + ε</w:t>
      </w:r>
    </w:p>
    <w:p>
      <w:pPr>
        <w:spacing w:after="120" w:line="312"/>
        <w:jc w:val="both"/>
      </w:pPr>
      <w:r>
        <w:rPr>
          <w:rFonts w:ascii="Times New Roman" w:eastAsia="SimSun"/>
          <w:b/>
          <w:bCs/>
          <w:color w:val="000000"/>
          <w:sz w:val="24"/>
          <w:szCs w:val="24"/>
        </w:rPr>
        <w:t xml:space="preserve">E.2 Growing Degree Days</w:t>
      </w:r>
    </w:p>
    <w:p>
      <w:pPr>
        <w:spacing w:after="80" w:line="276"/>
        <w:ind w:left="480"/>
        <w:jc w:val="left"/>
      </w:pPr>
      <w:r>
        <w:rPr>
          <w:rFonts w:ascii="Courier New" w:eastAsia="Courier New"/>
          <w:color w:val="333333"/>
          <w:sz w:val="20"/>
          <w:szCs w:val="20"/>
        </w:rPr>
        <w:t xml:space="preserve">GDD_t = max(0, T_mean_t - T_base)</w:t>
      </w:r>
    </w:p>
    <w:p>
      <w:pPr>
        <w:spacing w:after="80" w:line="276"/>
        <w:ind w:left="480"/>
        <w:jc w:val="left"/>
      </w:pPr>
      <w:r>
        <w:rPr>
          <w:rFonts w:ascii="Courier New" w:eastAsia="Courier New"/>
          <w:color w:val="333333"/>
          <w:sz w:val="20"/>
          <w:szCs w:val="20"/>
        </w:rPr>
        <w:t xml:space="preserve">AGDD_t = Σ GDD_τ for τ from planting date to t</w:t>
      </w:r>
    </w:p>
    <w:p>
      <w:pPr>
        <w:spacing w:after="120" w:line="312"/>
        <w:jc w:val="both"/>
      </w:pPr>
      <w:r>
        <w:rPr>
          <w:rFonts w:ascii="Times New Roman" w:eastAsia="SimSun"/>
          <w:b/>
          <w:bCs/>
          <w:color w:val="000000"/>
          <w:sz w:val="24"/>
          <w:szCs w:val="24"/>
        </w:rPr>
        <w:t xml:space="preserve">E.3 Total Loss</w:t>
      </w:r>
    </w:p>
    <w:p>
      <w:pPr>
        <w:spacing w:after="80" w:line="276"/>
        <w:ind w:left="480"/>
        <w:jc w:val="left"/>
      </w:pPr>
      <w:r>
        <w:rPr>
          <w:rFonts w:ascii="Courier New" w:eastAsia="Courier New"/>
          <w:color w:val="333333"/>
          <w:sz w:val="20"/>
          <w:szCs w:val="20"/>
        </w:rPr>
        <w:t xml:space="preserve">L_total = Σ_i α_i × L_SSL_i + λ_water(t) × L_water + λ_growth(t) × L_growth + λ_causal(t) × L_temporal_DAG + λ_calib × L_calibration</w:t>
      </w:r>
    </w:p>
    <w:p>
      <w:pPr>
        <w:spacing w:after="120" w:line="312"/>
        <w:jc w:val="both"/>
      </w:pPr>
      <w:r>
        <w:rPr>
          <w:rFonts w:ascii="Times New Roman" w:eastAsia="SimSun"/>
          <w:b/>
          <w:bCs/>
          <w:color w:val="000000"/>
          <w:sz w:val="24"/>
          <w:szCs w:val="24"/>
        </w:rPr>
        <w:t xml:space="preserve">E.4 Physics Loss</w:t>
      </w:r>
    </w:p>
    <w:p>
      <w:pPr>
        <w:spacing w:after="80" w:line="276"/>
        <w:ind w:left="480"/>
        <w:jc w:val="left"/>
      </w:pPr>
      <w:r>
        <w:rPr>
          <w:rFonts w:ascii="Courier New" w:eastAsia="Courier New"/>
          <w:color w:val="333333"/>
          <w:sz w:val="20"/>
          <w:szCs w:val="20"/>
        </w:rPr>
        <w:t xml:space="preserve">L_water = w_data × ||ΔSM_pred - (P + I_latent - ET - R - D)||²</w:t>
      </w:r>
    </w:p>
    <w:p>
      <w:pPr>
        <w:spacing w:after="120" w:line="312"/>
        <w:jc w:val="both"/>
      </w:pPr>
      <w:r>
        <w:rPr>
          <w:rFonts w:ascii="Times New Roman" w:eastAsia="SimSun"/>
          <w:b/>
          <w:bCs/>
          <w:color w:val="000000"/>
          <w:sz w:val="24"/>
          <w:szCs w:val="24"/>
        </w:rPr>
        <w:t xml:space="preserve">E.5 Causal Loss</w:t>
      </w:r>
    </w:p>
    <w:p>
      <w:pPr>
        <w:spacing w:after="80" w:line="276"/>
        <w:ind w:left="480"/>
        <w:jc w:val="left"/>
      </w:pPr>
      <w:r>
        <w:rPr>
          <w:rFonts w:ascii="Courier New" w:eastAsia="Courier New"/>
          <w:color w:val="333333"/>
          <w:sz w:val="20"/>
          <w:szCs w:val="20"/>
        </w:rPr>
        <w:t xml:space="preserve">L_temporal_DAG = λ_causal(t) × [Σ_edges ||pred_effect - strength × cause|| + acyclicity_penalty + sign_penalty]</w:t>
      </w:r>
    </w:p>
    <w:p>
      <w:pPr>
        <w:pStyle w:val="Heading2"/>
        <w:spacing w:after="160" w:before="360"/>
      </w:pPr>
      <w:bookmarkStart w:id="100139" w:name="_Toc100139"/>
      <w:r>
        <w:rPr>
          <w:rFonts w:ascii="Times New Roman" w:eastAsia="SimHei"/>
          <w:b/>
          <w:bCs/>
          <w:color w:val="162032"/>
          <w:sz w:val="28"/>
          <w:szCs w:val="28"/>
        </w:rPr>
        <w:t xml:space="preserve">Appendix F: Final Acceptable Claim (If Results Support)</w:t>
      </w:r>
      <w:bookmarkEnd w:id="100139"/>
    </w:p>
    <w:p>
      <w:pPr>
        <w:spacing w:after="120" w:line="312"/>
        <w:jc w:val="both"/>
      </w:pPr>
      <w:r>
        <w:rPr>
          <w:rFonts w:ascii="Times New Roman" w:eastAsia="SimSun"/>
          <w:color w:val="000000"/>
          <w:sz w:val="24"/>
          <w:szCs w:val="24"/>
        </w:rPr>
        <w:t xml:space="preserve">AgroEarthFM demonstrates that joint drought-phenology process-centered multimodal representation learning, augmented with weak physical regularization, improves agricultural stress and phenology/yield-risk prediction under selected transfer and extreme-event settings compared with strong statistical, temporal, and non-physics baselines.</w:t>
      </w:r>
    </w:p>
    <w:p>
      <w:pPr>
        <w:spacing w:after="120" w:line="312"/>
        <w:jc w:val="both"/>
      </w:pPr>
      <w:r>
        <w:rPr>
          <w:rFonts w:ascii="Times New Roman" w:eastAsia="SimSun"/>
          <w:b/>
          <w:bCs/>
          <w:color w:val="000000"/>
          <w:sz w:val="24"/>
          <w:szCs w:val="24"/>
        </w:rPr>
        <w:t xml:space="preserve">Claims NOT Allowed in First-Year Output Unless Separately Validated:</w:t>
      </w:r>
    </w:p>
    <w:p>
      <w:pPr>
        <w:spacing w:after="120" w:line="312"/>
        <w:jc w:val="both"/>
      </w:pPr>
      <w:r>
        <w:rPr>
          <w:rFonts w:ascii="Times New Roman" w:eastAsia="SimSun"/>
          <w:color w:val="000000"/>
          <w:sz w:val="24"/>
          <w:szCs w:val="24"/>
        </w:rPr>
        <w:t xml:space="preserve">The system is a fully causal foundation model. The system predicts food-security risk directly. The model generalizes globally across all climate regions. The counterfactual outputs are decision-grade causal estimates. Field-scale yield accuracy is proven using only administrative yield labels.</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88888"/>
        <w:sz w:val="18"/>
        <w:szCs w:val="18"/>
      </w:rPr>
      <w:t xml:space="preserve">AgroEarthFM — Complete Finalized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162032"/>
      <w:sz w:val="32"/>
      <w:szCs w:val="32"/>
    </w:rPr>
  </w:style>
  <w:style w:type="paragraph" w:styleId="Heading2">
    <w:name w:val="Heading 2"/>
    <w:basedOn w:val="Normal"/>
    <w:next w:val="Normal"/>
    <w:qFormat/>
    <w:pPr>
      <w:spacing w:after="160" w:before="360" w:line="312"/>
      <w:outlineLvl w:val="1"/>
    </w:pPr>
    <w:rPr>
      <w:rFonts w:ascii="Times New Roman" w:eastAsia="SimHei"/>
      <w:b/>
      <w:bCs/>
      <w:color w:val="162032"/>
      <w:sz w:val="28"/>
      <w:szCs w:val="28"/>
    </w:rPr>
  </w:style>
  <w:style w:type="paragraph" w:styleId="Heading3">
    <w:name w:val="Heading 3"/>
    <w:basedOn w:val="Normal"/>
    <w:next w:val="Normal"/>
    <w:qFormat/>
    <w:pPr>
      <w:spacing w:after="120" w:before="280" w:line="312"/>
      <w:outlineLvl w:val="2"/>
    </w:pPr>
    <w:rPr>
      <w:rFonts w:ascii="Times New Roman" w:eastAsia="SimHei"/>
      <w:b/>
      <w:bCs/>
      <w:color w:val="162032"/>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2026-05-22T15:25:32.703Z</dcterms:created>
  <dcterms:modified xsi:type="dcterms:W3CDTF">2026-05-22T15:25:32.705Z</dcterms:modified>
</cp:coreProperties>
</file>

<file path=docProps/custom.xml><?xml version="1.0" encoding="utf-8"?>
<Properties xmlns="http://schemas.openxmlformats.org/officeDocument/2006/custom-properties" xmlns:vt="http://schemas.openxmlformats.org/officeDocument/2006/docPropsVTypes"/>
</file>