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VoltRide: Operational Excellence &amp; Efficiency Report</w:t>
      </w:r>
    </w:p>
    <w:p>
      <w:pPr>
        <w:pStyle w:val="Heading1"/>
      </w:pPr>
      <w:r>
        <w:t>1. Problem Deconstruction</w:t>
      </w:r>
    </w:p>
    <w:p>
      <w:r>
        <w:t>VoltRide is facing a Structural Temporal Mismatch. The current fleet deployment ignores the unique energy constraints of EVs, leading to critical supply withdrawal during peak demand hours. Our audit reveals a 29.6% failure rate, significantly higher than previously reported, driven by 'Ghost Cancellations' and range-anxious driver behavior.</w:t>
      </w:r>
    </w:p>
    <w:p>
      <w:pPr>
        <w:pStyle w:val="Heading1"/>
      </w:pPr>
      <w:r>
        <w:t>2. Demand-Supply Stress Mapping</w:t>
      </w:r>
    </w:p>
    <w:p>
      <w:r>
        <w:t>The window of Mumbai Zone 1 at 10 AM represents the highest operational risk (83.3% cancellation). This indicates a localized service collapse where the dispatch algorithm fails to account for vehicle readiness before peak commute hours.</w:t>
      </w:r>
    </w:p>
    <w:p>
      <w:pPr>
        <w:pStyle w:val="Heading1"/>
      </w:pPr>
      <w:r>
        <w:t>3. Cancellation Driver Decomposition</w:t>
      </w:r>
    </w:p>
    <w:p>
      <w:r>
        <w:t>A 'Cliff Effect' is observed at 20% battery charge. Requests for vehicles below this threshold show an 87.5% cancellation probability. This necessitates a proactive buffer management system.</w:t>
      </w:r>
    </w:p>
    <w:p>
      <w:pPr>
        <w:pStyle w:val="Heading1"/>
      </w:pPr>
      <w:r>
        <w:t>4. Infrastructure &amp; Fleet Utilization</w:t>
      </w:r>
    </w:p>
    <w:p>
      <w:r>
        <w:t>Proximity to chargers does not equate to availability. High congestion at charging stations during peak hours (wait times &gt;28 mins) removes supply from the grid. We recommend shifting 30% of charging activity to off-peak hours (10 PM - 6 AM).</w:t>
      </w:r>
    </w:p>
    <w:p>
      <w:pPr>
        <w:pStyle w:val="Heading1"/>
      </w:pPr>
      <w:r>
        <w:t>5. Operational Improvement Proposal</w:t>
      </w:r>
    </w:p>
    <w:p>
      <w:r>
        <w:t>Strategic Levers for 60-90 Day Implementation:</w:t>
      </w:r>
    </w:p>
    <w:p>
      <w:pPr>
        <w:pStyle w:val="ListBullet"/>
      </w:pPr>
      <w:r>
        <w:t>Just-In-Time Charging (JIT-C): Implement a dynamic 40% battery floor during peak windows.</w:t>
      </w:r>
    </w:p>
    <w:p>
      <w:pPr>
        <w:pStyle w:val="ListBullet"/>
      </w:pPr>
      <w:r>
        <w:t>Battery-Aware Surge Pricing: Offset energy burn risks during Heavy Rain (31.4% crash risk).</w:t>
      </w:r>
    </w:p>
    <w:p>
      <w:pPr>
        <w:pStyle w:val="ListBullet"/>
      </w:pPr>
      <w:r>
        <w:t>Synthetic Queue Notifications: Use influx data to route drivers to under-utilized chargers.</w:t>
      </w:r>
    </w:p>
    <w:p>
      <w:pPr>
        <w:pStyle w:val="Heading1"/>
      </w:pPr>
      <w:r>
        <w:t>Conclusion</w:t>
      </w:r>
    </w:p>
    <w:p>
      <w:r>
        <w:t>By transitioning from traditional dispatch to proactive energy logistics, VoltRide can recover an estimated 15-20% of lost revenue while improving customer trust and driver sustainability.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