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6 Module Report</w:t>
      </w:r>
    </w:p>
    <w:p>
      <w:pPr>
        <w:pStyle w:val="Subtitle"/>
      </w:pPr>
      <w:r>
        <w:t>Chong Zhang  |  CS30 Learning Assistant  |  8 September 2026</w:t>
      </w:r>
    </w:p>
    <w:p>
      <w:pPr>
        <w:pStyle w:val="Heading1"/>
      </w:pPr>
      <w:r>
        <w:t>1 Member and Role</w:t>
      </w:r>
    </w:p>
    <w:p>
      <w:r>
        <w:t>Chong Zhang is accountable for automated checks, independent evaluation protocols, data isolation, metrics, annotation and acceptance evidence. The assigned domain is QA-01 through QA-14 and CHAT-09 and CHAT-10. This Week 6 report describes the evaluation and QA capabilities available in the shared baseline. It does not invent individual testing hours, reviewer identities, grades or personal commits. Existing records identify actual machine execution and preserve historical evidence. Chong's subsequent reproduction and review should receive genuine dates and attribution, while the current report remains a substantive explanation of the assigned module and its boundaries.</w:t>
      </w:r>
    </w:p>
    <w:p>
      <w:pPr>
        <w:pStyle w:val="Heading1"/>
      </w:pPr>
      <w:r>
        <w:t>2 Week 6 Objectives</w:t>
      </w:r>
    </w:p>
    <w:p>
      <w:r>
        <w:t>The Week 6 objective was to make evaluation reproducible without leaking answer keys into the product. Interactive chat, stem-only OpenQA and shuffled-choice MCQ need distinct inputs, response schemas and reported outcomes. A benchmark must retain its complete scheduled denominator, including refusal, failure, cancellation and missing input, rather than reporting only convenient successful cases.</w:t>
      </w:r>
    </w:p>
    <w:p>
      <w:r>
        <w:t>The module also needed an honest bridge between technical tests and research claims. Citation membership checks, lexical scores and mock-output runs are useful software observations but cannot establish scientific correctness, source relevance or learning gains. Human judgments require actual reviewers and compatible source identities. Validation-based configuration selection must stay separate from final test evaluation.</w:t>
      </w:r>
    </w:p>
    <w:p>
      <w:pPr>
        <w:pStyle w:val="Heading1"/>
      </w:pPr>
      <w:r>
        <w:t>3 Work Delivered in the Assigned Module</w:t>
      </w:r>
    </w:p>
    <w:p>
      <w:r>
        <w:t>The evaluation domain contains SciQ adapters, a frozen runner, backend protocol interfaces, mode-specific scoring, paired analysis and blinded annotation tools. Public OpenQA receives the original question stem only; MCQ receives deterministic candidates without the correct label. Private reference answers and support remain outside the application runtime. The runner records manifests, receipts, outcomes and environment fingerprints and does not rerun already terminal items as an invisible repair.</w:t>
      </w:r>
    </w:p>
    <w:p>
      <w:r>
        <w:t>Conversation scenarios exercise twelve families through the actual application interface. Independent teaching studies preserve shared base answers and evidence across matched variants. Metrics distinguish compact-answer exact match and token F1 from MCQ selection accuracy and separate full-response review. Annotation tools retain missing grades as null and validate reviewer records. Frozen controlled-factor comparisons reject incompatible or silently changed conditions.</w:t>
      </w:r>
    </w:p>
    <w:p>
      <w:pPr>
        <w:pStyle w:val="Heading1"/>
      </w:pPr>
      <w:r>
        <w:t>4 Technical Approach and Main Files</w:t>
      </w:r>
    </w:p>
    <w:p>
      <w:r>
        <w:t>evaluation/runner.py owns freezing, persistence, resume and public-input validation. datasets/sciq.py and sciq_openqa.py create the separate projections. metrics/scoring.py, retrieval.py and paired.py define explicit denominators and uncertainty calculations. annotations/qrels.py binds source judgments to release, processing and span identities; annotations/blind.py prepares opaque review order and checks returned ratings. analysis/ablations.py verifies the declared changed factor.</w:t>
      </w:r>
    </w:p>
    <w:p>
      <w:r>
        <w:t>The evaluator reaches normal durable answering through evaluation/bridge.py and its backend protocol. The complete backend/app/modules/experiment module is assigned to Chong's package, integrated with Zeping's worker, migrations and application wiring. Mixed integration tests also have one QA owner. Packages exclude actual private SciQ references and private runs. The included evaluation/private_fixture files are explicitly authored software fixtures, not acquired SciQ answer keys or evidence of real benchmark quality.</w:t>
      </w:r>
    </w:p>
    <w:p>
      <w:r>
        <w:t>The finalized contribution contains 66 source-file paths, listed individually in OWNED_PATHS.txt and MANIFEST.json. Only those paths belong to this import; references to collaborating modules do not assign their files to this member.</w:t>
      </w:r>
    </w:p>
    <w:p>
      <w:r>
        <w:t>Exact ownership and byte hashes: MANIFEST.json. Report upload path: docs/week06/Chong_Zhang/Week06_Report_EN.docx.</w:t>
      </w:r>
    </w:p>
    <w:p>
      <w:pPr>
        <w:pStyle w:val="Heading1"/>
      </w:pPr>
      <w:r>
        <w:t>5 Integration with Other Members’ Modules</w:t>
      </w:r>
    </w:p>
    <w:p>
      <w:r>
        <w:t>Xianshu Zhang owns the canonical task and acceptance ledger; Chong supplies scoped evidence rather than upgrading unrelated rows. Zeping Liao provides durable execution and mode-specific result exports. Sijin Lu supplies validated response formats and bounded provider behavior. Hongle Yang and Chengzhou Liu provide immutable source and retrieval identities needed for compatible relevance judgments. Pengyuan Xia provides the independent teaching rubric and matched conditions; Baiqing Huang supplies actual browser interactions.</w:t>
      </w:r>
    </w:p>
    <w:p>
      <w:r>
        <w:t>This dependency structure means the evaluator package cannot independently prove the deployed application's isolation. Module tests, container boundaries, real request traces, retrieval diagnostics and human studies each have a different role. The integration branch must assemble the genuine producers before the team starts a new frozen research run.</w:t>
      </w:r>
    </w:p>
    <w:p>
      <w:pPr>
        <w:pStyle w:val="Heading1"/>
      </w:pPr>
      <w:r>
        <w:t>6 Verification and Evidence</w:t>
      </w:r>
    </w:p>
    <w:p>
      <w:r>
        <w:t>The current unchanged-source gate completed on 8 September 2026 at 09:57:46 UTC with 236 Python and 25 frontend checks. Older evaluator-specific 54-test evidence remains a narrower historical run, not a number to add to the aggregate. The official SciQ technical rehearsal used two fixed validation rows in two modes: all four jobs executed, with two OpenQA refusals and two completed MCQ responses under mock answering.</w:t>
      </w:r>
    </w:p>
    <w:p>
      <w:r>
        <w:t>Actual R0, R1, R2 and R3 diagnostics completed a separate sixty-condition repeat on a frozen historical corpus, preserving the first interrupted schedule. The fixed-window comparison built 11,461 real vectors against 10,594 structure-aware vectors with source coverage checks. These establish execution and provenance, not which method is better. Every result cited here already existed before this report was prepared.</w:t>
      </w:r>
    </w:p>
    <w:p>
      <w:r>
        <w:t>This handover separately passed the 433-file isolated merge, 188 Python unit tests, 25 frontend tests and a production build. These checks do not measure live answer quality; see docs/week06/shared/verification-summary.json.</w:t>
      </w:r>
    </w:p>
    <w:p>
      <w:pPr>
        <w:pStyle w:val="Heading1"/>
      </w:pPr>
      <w:r>
        <w:t>7 Current Limitations</w:t>
      </w:r>
    </w:p>
    <w:p>
      <w:r>
        <w:t>QA-04 remains implemented but unverified: the seventy-five-pair R0 pool has null grades, reviewer identities and dates. It was prepared after R1–R3 existed, so the requested earlier annotation chronology was missed and cannot be backdated. That pool uses historical v4 chunks and cannot be renamed as current v5 or fixed-window judgments without compatibility review.</w:t>
      </w:r>
    </w:p>
    <w:p>
      <w:r>
        <w:t>QA-07 and QA-10 still await user-deferred real answering outputs and independent human assessment. The four-item SciQ rehearsal is not a formal benchmark. Native duplicate MCQ choices remain in the official dataset and strict whole-split preflight rejects the affected split; an approved protocol must address that transparently. Real source processing and embeddings are complete, but answer quality, relevance metrics and teaching gains remain unestablished.</w:t>
      </w:r>
    </w:p>
    <w:p>
      <w:pPr>
        <w:pStyle w:val="Heading1"/>
      </w:pPr>
      <w:r>
        <w:t>8 Week 7 Plan and Dependencies</w:t>
      </w:r>
    </w:p>
    <w:p>
      <w:r>
        <w:t>Week 7 should first verify the merged evaluator's public/private boundary in an isolated copy and personally reproduce a small named technical run without altering old outputs. With Hongle and Chengzhou, prepare a new compatible v5 source-review pool and recruit independent reviewers. Preserve the late historical pool and record the actual chronology instead of transferring unreviewed grades.</w:t>
      </w:r>
    </w:p>
    <w:p>
      <w:r>
        <w:t>With Sijin and Zeping, configure the approved real answering service, freeze matched E0 and E1 conditions, retain every scheduled outcome and select configurations on validation data only. Resolve the dataset's duplicate-choice policy before a formal MCQ freeze. With Pengyuan, obtain actual blinded ratings for matched teaching outputs. Existing R0–R3 implementations, scoring code and chunking builds should be reused; new relevance judgments and real-model results are the missing work.</w:t>
      </w:r>
    </w:p>
    <w:sectPr w:rsidR="00FC693F" w:rsidRPr="0006063C" w:rsidSect="00034616">
      <w:footerReference w:type="default" r:id="rId9"/>
      <w:pgSz w:w="11906" w:h="16838"/>
      <w:pgMar w:top="964" w:right="1077" w:bottom="964" w:left="1077"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Week 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eastAsia="Microsoft YaHei"/>
      <w:b w:val="0"/>
      <w:color w:val="000000"/>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200"/>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200"/>
      <w:outlineLvl w:val="2"/>
    </w:pPr>
    <w:rPr>
      <w:rFonts w:asciiTheme="majorHAnsi" w:eastAsiaTheme="majorEastAsia" w:hAnsiTheme="majorHAnsi" w:cstheme="majorBidi" w:ascii="Calibri" w:hAnsi="Calibr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eastAsia="Microsoft YaHe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eastAsia="Microsoft YaHe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Module Report</dc:title>
  <dc:subject>Week 6 existing project handover</dc:subject>
  <dc:creator>CS30 Project Handover</dc:creator>
  <cp:keywords/>
  <dc:description>Prepared from shared project records. No personal authorship or execution history is asserted.</dc:description>
  <cp:lastModifiedBy/>
  <cp:revision>1</cp:revision>
  <dcterms:created xsi:type="dcterms:W3CDTF">2013-12-23T23:15:00Z</dcterms:created>
  <dcterms:modified xsi:type="dcterms:W3CDTF">2013-12-23T23:15:00Z</dcterms:modified>
  <cp:category/>
</cp:coreProperties>
</file>