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附件内容可以被模型阅读</w:t>
      </w:r>
    </w:p>
  </w:body>
</w:document>
</file>