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2A7" w14:textId="77777777" w:rsidR="00772372" w:rsidRDefault="00772372" w:rsidP="00772372"/>
    <w:tbl>
      <w:tblPr>
        <w:tblStyle w:val="TabelacomGrelha"/>
        <w:tblW w:w="0" w:type="auto"/>
        <w:tblLook w:val="04A0" w:firstRow="1" w:lastRow="0" w:firstColumn="1" w:lastColumn="0" w:noHBand="0" w:noVBand="1"/>
      </w:tblPr>
      <w:tblGrid>
        <w:gridCol w:w="2632"/>
        <w:gridCol w:w="5862"/>
      </w:tblGrid>
      <w:tr w:rsidR="00772372" w14:paraId="66396FE8" w14:textId="77777777" w:rsidTr="00772372">
        <w:tc>
          <w:tcPr>
            <w:tcW w:w="2660" w:type="dxa"/>
            <w:shd w:val="clear" w:color="auto" w:fill="54C891"/>
          </w:tcPr>
          <w:p w14:paraId="4A019975" w14:textId="2F9CE1DA" w:rsidR="00772372" w:rsidRPr="00772372" w:rsidRDefault="00772372" w:rsidP="00772372">
            <w:pPr>
              <w:spacing w:before="60" w:after="60"/>
              <w:rPr>
                <w:b/>
                <w:bCs/>
                <w:color w:val="FFFFFF" w:themeColor="background1"/>
              </w:rPr>
            </w:pPr>
            <w:r w:rsidRPr="00772372">
              <w:rPr>
                <w:b/>
                <w:bCs/>
                <w:color w:val="FFFFFF" w:themeColor="background1"/>
              </w:rPr>
              <w:t>Designação d</w:t>
            </w:r>
            <w:r w:rsidR="002670B2">
              <w:rPr>
                <w:b/>
                <w:bCs/>
                <w:color w:val="FFFFFF" w:themeColor="background1"/>
              </w:rPr>
              <w:t>a</w:t>
            </w:r>
            <w:r w:rsidRPr="00772372">
              <w:rPr>
                <w:b/>
                <w:bCs/>
                <w:color w:val="FFFFFF" w:themeColor="background1"/>
              </w:rPr>
              <w:t xml:space="preserve"> </w:t>
            </w:r>
            <w:r w:rsidR="002670B2">
              <w:rPr>
                <w:b/>
                <w:bCs/>
                <w:color w:val="FFFFFF" w:themeColor="background1"/>
              </w:rPr>
              <w:t>empresa</w:t>
            </w:r>
            <w:r w:rsidRPr="00772372">
              <w:rPr>
                <w:b/>
                <w:bCs/>
                <w:color w:val="FFFFFF" w:themeColor="background1"/>
              </w:rPr>
              <w:t>:</w:t>
            </w:r>
          </w:p>
        </w:tc>
        <w:tc>
          <w:tcPr>
            <w:tcW w:w="5984" w:type="dxa"/>
            <w:shd w:val="clear" w:color="auto" w:fill="54C891"/>
          </w:tcPr>
          <w:p w14:paraId="3A68EC2E" w14:textId="341F963A" w:rsidR="00772372" w:rsidRPr="00DE6552" w:rsidRDefault="00772372" w:rsidP="00DE6552">
            <w:pPr>
              <w:spacing w:before="60" w:after="60"/>
              <w:rPr>
                <w:color w:val="FFFFFF" w:themeColor="background1"/>
              </w:rPr>
            </w:pPr>
          </w:p>
        </w:tc>
      </w:tr>
      <w:tr w:rsidR="00772372" w14:paraId="06ED4B91" w14:textId="77777777" w:rsidTr="00772372">
        <w:tc>
          <w:tcPr>
            <w:tcW w:w="2660" w:type="dxa"/>
            <w:shd w:val="clear" w:color="auto" w:fill="54C891"/>
          </w:tcPr>
          <w:p w14:paraId="44871742" w14:textId="2D71B759" w:rsidR="00772372" w:rsidRPr="00772372" w:rsidRDefault="002670B2" w:rsidP="00772372">
            <w:pPr>
              <w:spacing w:before="60" w:after="60"/>
              <w:rPr>
                <w:b/>
                <w:bCs/>
                <w:color w:val="FFFFFF" w:themeColor="background1"/>
              </w:rPr>
            </w:pPr>
            <w:r>
              <w:rPr>
                <w:b/>
                <w:bCs/>
                <w:color w:val="FFFFFF" w:themeColor="background1"/>
              </w:rPr>
              <w:t>Responsável do projeto</w:t>
            </w:r>
            <w:r w:rsidR="00772372" w:rsidRPr="00772372">
              <w:rPr>
                <w:b/>
                <w:bCs/>
                <w:color w:val="FFFFFF" w:themeColor="background1"/>
              </w:rPr>
              <w:t>:</w:t>
            </w:r>
          </w:p>
        </w:tc>
        <w:tc>
          <w:tcPr>
            <w:tcW w:w="5984" w:type="dxa"/>
            <w:shd w:val="clear" w:color="auto" w:fill="54C891"/>
          </w:tcPr>
          <w:p w14:paraId="0D94221C" w14:textId="77777777" w:rsidR="00772372" w:rsidRPr="00DE6552" w:rsidRDefault="00772372" w:rsidP="00DE6552">
            <w:pPr>
              <w:spacing w:before="60" w:after="60"/>
              <w:rPr>
                <w:color w:val="FFFFFF" w:themeColor="background1"/>
              </w:rPr>
            </w:pPr>
          </w:p>
        </w:tc>
      </w:tr>
    </w:tbl>
    <w:p w14:paraId="5588A4EB" w14:textId="57D33475" w:rsidR="00772372" w:rsidRDefault="00772372" w:rsidP="00772372"/>
    <w:p w14:paraId="3AE768B6" w14:textId="122DE4D6" w:rsidR="00772372" w:rsidRDefault="002670B2" w:rsidP="00772372">
      <w:pPr>
        <w:jc w:val="both"/>
      </w:pPr>
      <w:r>
        <w:t>A empresa</w:t>
      </w:r>
      <w:r w:rsidR="00772372">
        <w:t xml:space="preserve"> declara</w:t>
      </w:r>
      <w:r w:rsidR="00BC64E0">
        <w:t xml:space="preserve"> </w:t>
      </w:r>
      <w:r w:rsidR="00772372">
        <w:t>que o projeto garante o cumprimento do princípio “Não Prejudicar Significativamente” (“</w:t>
      </w:r>
      <w:r w:rsidR="00772372" w:rsidRPr="00D461F9">
        <w:rPr>
          <w:i/>
          <w:iCs/>
        </w:rPr>
        <w:t>Do No Significant Harm</w:t>
      </w:r>
      <w:r w:rsidR="00772372">
        <w:t>”, DNSH), não incluindo atividades que causem danos significativos a qualquer objetivo ambiental na aceção do artigo 17.º do Regulamento (UE) 2020/852 do Parlamento Europeu e do Conselho (Regulamento da Taxonomia da UE), conforme lista de atividades excluídas.</w:t>
      </w:r>
    </w:p>
    <w:p w14:paraId="3CDC3960" w14:textId="6791EE31" w:rsidR="00772372" w:rsidRDefault="00772372" w:rsidP="00772372">
      <w:pPr>
        <w:jc w:val="both"/>
      </w:pPr>
    </w:p>
    <w:tbl>
      <w:tblPr>
        <w:tblStyle w:val="TabelacomGrelha"/>
        <w:tblW w:w="0" w:type="auto"/>
        <w:tblCellMar>
          <w:top w:w="102" w:type="dxa"/>
          <w:left w:w="102" w:type="dxa"/>
          <w:bottom w:w="102" w:type="dxa"/>
          <w:right w:w="102" w:type="dxa"/>
        </w:tblCellMar>
        <w:tblLook w:val="04A0" w:firstRow="1" w:lastRow="0" w:firstColumn="1" w:lastColumn="0" w:noHBand="0" w:noVBand="1"/>
      </w:tblPr>
      <w:tblGrid>
        <w:gridCol w:w="4944"/>
        <w:gridCol w:w="1971"/>
        <w:gridCol w:w="1584"/>
      </w:tblGrid>
      <w:tr w:rsidR="00BC64E0" w14:paraId="663EA614" w14:textId="7575126E" w:rsidTr="00BC64E0">
        <w:trPr>
          <w:cantSplit/>
          <w:tblHeader/>
        </w:trPr>
        <w:tc>
          <w:tcPr>
            <w:tcW w:w="4944" w:type="dxa"/>
            <w:tcBorders>
              <w:top w:val="nil"/>
              <w:left w:val="nil"/>
            </w:tcBorders>
          </w:tcPr>
          <w:p w14:paraId="36280165" w14:textId="483ABDD4" w:rsidR="00BC64E0" w:rsidRDefault="00BC64E0" w:rsidP="00772372">
            <w:pPr>
              <w:jc w:val="both"/>
            </w:pPr>
            <w:r w:rsidRPr="00F64D3F">
              <w:rPr>
                <w:color w:val="FF0000"/>
              </w:rPr>
              <w:t>Não se insere:</w:t>
            </w:r>
          </w:p>
        </w:tc>
        <w:tc>
          <w:tcPr>
            <w:tcW w:w="1971" w:type="dxa"/>
          </w:tcPr>
          <w:p w14:paraId="37CA4826" w14:textId="2FA32739" w:rsidR="00BC64E0" w:rsidRPr="00447070" w:rsidRDefault="00BC64E0" w:rsidP="00447070">
            <w:pPr>
              <w:jc w:val="center"/>
              <w:rPr>
                <w:i/>
                <w:iCs/>
              </w:rPr>
            </w:pPr>
            <w:r w:rsidRPr="00447070">
              <w:rPr>
                <w:i/>
                <w:iCs/>
              </w:rPr>
              <w:t>(</w:t>
            </w:r>
            <w:r w:rsidR="00D461F9">
              <w:rPr>
                <w:i/>
                <w:iCs/>
              </w:rPr>
              <w:t>C</w:t>
            </w:r>
            <w:r w:rsidRPr="00447070">
              <w:rPr>
                <w:i/>
                <w:iCs/>
              </w:rPr>
              <w:t>umpre/</w:t>
            </w:r>
            <w:r w:rsidR="00D461F9">
              <w:rPr>
                <w:i/>
                <w:iCs/>
              </w:rPr>
              <w:t>N</w:t>
            </w:r>
            <w:r w:rsidRPr="00447070">
              <w:rPr>
                <w:i/>
                <w:iCs/>
              </w:rPr>
              <w:t>ão cumpre)</w:t>
            </w:r>
          </w:p>
        </w:tc>
        <w:tc>
          <w:tcPr>
            <w:tcW w:w="1584" w:type="dxa"/>
          </w:tcPr>
          <w:p w14:paraId="27510EA2" w14:textId="5BD463D2" w:rsidR="00BC64E0" w:rsidRPr="00447070" w:rsidRDefault="00BC64E0" w:rsidP="00447070">
            <w:pPr>
              <w:jc w:val="center"/>
              <w:rPr>
                <w:i/>
                <w:iCs/>
              </w:rPr>
            </w:pPr>
            <w:r>
              <w:rPr>
                <w:i/>
                <w:iCs/>
              </w:rPr>
              <w:t>Observações</w:t>
            </w:r>
          </w:p>
        </w:tc>
      </w:tr>
      <w:tr w:rsidR="00BC64E0" w14:paraId="49C9F11F" w14:textId="6BAB3364" w:rsidTr="00BC64E0">
        <w:trPr>
          <w:cantSplit/>
        </w:trPr>
        <w:tc>
          <w:tcPr>
            <w:tcW w:w="4944" w:type="dxa"/>
          </w:tcPr>
          <w:p w14:paraId="1C86C1D9" w14:textId="2DBB748A" w:rsidR="00832EBD" w:rsidRDefault="00832EBD" w:rsidP="00832EBD">
            <w:pPr>
              <w:jc w:val="both"/>
            </w:pPr>
            <w:r>
              <w:t>Atividades e ativos, relacionados com combustíveis fósseis, incluindo utilizações a jusante, exceto para produção de eletricidade e/ou calor, bem como infraestruturas conexas de transporte e distribuição, que utilizem gás natural, que cumpram as condições</w:t>
            </w:r>
          </w:p>
          <w:p w14:paraId="0C764A06" w14:textId="5403CC8B" w:rsidR="00BC64E0" w:rsidRDefault="00832EBD" w:rsidP="00832EBD">
            <w:pPr>
              <w:jc w:val="both"/>
            </w:pPr>
            <w:r>
              <w:t xml:space="preserve">estabelecidas no anexo III das orientações técnicas sobre a aplicação do princípio de </w:t>
            </w:r>
            <w:r w:rsidR="00D461F9">
              <w:t>“</w:t>
            </w:r>
            <w:r>
              <w:t>não prejudicar significativamente</w:t>
            </w:r>
            <w:r w:rsidR="00D461F9">
              <w:t>”</w:t>
            </w:r>
            <w:r>
              <w:t xml:space="preserve"> (Comunicação da Comissão Europeia 2021/C58/01).</w:t>
            </w:r>
          </w:p>
        </w:tc>
        <w:tc>
          <w:tcPr>
            <w:tcW w:w="1971" w:type="dxa"/>
          </w:tcPr>
          <w:p w14:paraId="31028C37" w14:textId="7E929956" w:rsidR="00BC64E0" w:rsidRDefault="00BC64E0" w:rsidP="00772372">
            <w:pPr>
              <w:jc w:val="both"/>
            </w:pPr>
          </w:p>
        </w:tc>
        <w:tc>
          <w:tcPr>
            <w:tcW w:w="1584" w:type="dxa"/>
          </w:tcPr>
          <w:p w14:paraId="21DF7BAA" w14:textId="77777777" w:rsidR="00BC64E0" w:rsidRDefault="00BC64E0" w:rsidP="00772372">
            <w:pPr>
              <w:jc w:val="both"/>
            </w:pPr>
          </w:p>
        </w:tc>
      </w:tr>
      <w:tr w:rsidR="00BC64E0" w14:paraId="64F5C766" w14:textId="1597F7CF" w:rsidTr="00BC64E0">
        <w:trPr>
          <w:cantSplit/>
        </w:trPr>
        <w:tc>
          <w:tcPr>
            <w:tcW w:w="4944" w:type="dxa"/>
          </w:tcPr>
          <w:p w14:paraId="6334159D" w14:textId="4B632C34" w:rsidR="00BC64E0" w:rsidRDefault="00832EBD" w:rsidP="00832EBD">
            <w:pPr>
              <w:jc w:val="both"/>
            </w:pPr>
            <w:r>
              <w:t>Atividades e ativos, abrangidos pelo Sistema de Comércio de Licenças de Emissão da UE (CELE) que alcancem emissões de gases com efeito de estufa previstas não inferiores aos parâmetros de referência aplicáveis. Nos casos em que a atividade apoiada alcance emissões de gases com efeito de estufa previstas que não sejam significativamente inferiores aos parâmetros de referência aplicáveis, deve explicar-se por que motivo não é possível alcançar valores superiores. Os parâmetros de referência são os estabelecidos para a atribuição de licenças de emissão a título gratuito a atividades abrangidas pelo Sistema de Comércio de Licenças de Emissão, conforme previsto no Regulamento de Execução (UE) 2021/447 da Comissão.</w:t>
            </w:r>
          </w:p>
        </w:tc>
        <w:tc>
          <w:tcPr>
            <w:tcW w:w="1971" w:type="dxa"/>
          </w:tcPr>
          <w:p w14:paraId="602E22B1" w14:textId="77777777" w:rsidR="00BC64E0" w:rsidRDefault="00BC64E0" w:rsidP="00772372">
            <w:pPr>
              <w:jc w:val="both"/>
            </w:pPr>
          </w:p>
        </w:tc>
        <w:tc>
          <w:tcPr>
            <w:tcW w:w="1584" w:type="dxa"/>
          </w:tcPr>
          <w:p w14:paraId="020A8BE2" w14:textId="77777777" w:rsidR="00BC64E0" w:rsidRDefault="00BC64E0" w:rsidP="00772372">
            <w:pPr>
              <w:jc w:val="both"/>
            </w:pPr>
          </w:p>
        </w:tc>
      </w:tr>
      <w:tr w:rsidR="00BC64E0" w14:paraId="2BD57232" w14:textId="69A4FBBF" w:rsidTr="00BC64E0">
        <w:trPr>
          <w:cantSplit/>
        </w:trPr>
        <w:tc>
          <w:tcPr>
            <w:tcW w:w="4944" w:type="dxa"/>
          </w:tcPr>
          <w:p w14:paraId="43EF91DC" w14:textId="72A8DE2A" w:rsidR="00BC64E0" w:rsidRDefault="00832EBD" w:rsidP="00832EBD">
            <w:r>
              <w:lastRenderedPageBreak/>
              <w:t>Atividades e ativos, relacionados com aterros de resíduos e incineradores, exceto em instalações que se destinam exclusivamente ao tratamento de resíduos perigosos não recicláveis nem a instalações já existentes nas quais as ações ao abrigo desta medida visem o aumento da eficiência energética, a captura de gases de escape para armazenamento ou reutilização ou a recuperação de matérias das cinzas de incineração, desde que as referidas ações ao abrigo desta medida não aumentem a capacidade de processamento de resíduos das instalações, nem a vida útil destas instalações, e que tal seja provado a nível das unidades.</w:t>
            </w:r>
          </w:p>
        </w:tc>
        <w:tc>
          <w:tcPr>
            <w:tcW w:w="1971" w:type="dxa"/>
          </w:tcPr>
          <w:p w14:paraId="58BB7DC9" w14:textId="77777777" w:rsidR="00BC64E0" w:rsidRDefault="00BC64E0" w:rsidP="00772372">
            <w:pPr>
              <w:jc w:val="both"/>
            </w:pPr>
          </w:p>
        </w:tc>
        <w:tc>
          <w:tcPr>
            <w:tcW w:w="1584" w:type="dxa"/>
          </w:tcPr>
          <w:p w14:paraId="795AB364" w14:textId="77777777" w:rsidR="00BC64E0" w:rsidRDefault="00BC64E0" w:rsidP="00772372">
            <w:pPr>
              <w:jc w:val="both"/>
            </w:pPr>
          </w:p>
        </w:tc>
      </w:tr>
      <w:tr w:rsidR="00BC64E0" w14:paraId="5F798FF1" w14:textId="27A0EE7A" w:rsidTr="00BC64E0">
        <w:trPr>
          <w:cantSplit/>
        </w:trPr>
        <w:tc>
          <w:tcPr>
            <w:tcW w:w="4944" w:type="dxa"/>
          </w:tcPr>
          <w:p w14:paraId="0035D7E9" w14:textId="4867321B" w:rsidR="00BC64E0" w:rsidRDefault="00832EBD" w:rsidP="00832EBD">
            <w:pPr>
              <w:jc w:val="both"/>
            </w:pPr>
            <w:r>
              <w:t>Atividades e ativos, relacionados com estações de tratamento mecânico e biológico, exceto em instalações de tratamento mecânico e biológico já existentes nas quais as ações ao abrigo desta medida visem o aumento da eficiência energética ou a reconversão em operações de reciclagem de resíduos separados para a compostagem e a digestão anaeróbia de biorresíduos, desde que as referidas ações ao abrigo desta medida não aumentem a capacidade de processamento de resíduos das instalações, nem a vida útil destas instalações, e que tal seja provado a nível das unidades.</w:t>
            </w:r>
          </w:p>
        </w:tc>
        <w:tc>
          <w:tcPr>
            <w:tcW w:w="1971" w:type="dxa"/>
          </w:tcPr>
          <w:p w14:paraId="2CA8B6CD" w14:textId="77777777" w:rsidR="00BC64E0" w:rsidRDefault="00BC64E0" w:rsidP="00772372">
            <w:pPr>
              <w:jc w:val="both"/>
            </w:pPr>
          </w:p>
        </w:tc>
        <w:tc>
          <w:tcPr>
            <w:tcW w:w="1584" w:type="dxa"/>
          </w:tcPr>
          <w:p w14:paraId="63E98E91" w14:textId="77777777" w:rsidR="00BC64E0" w:rsidRDefault="00BC64E0" w:rsidP="00772372">
            <w:pPr>
              <w:jc w:val="both"/>
            </w:pPr>
          </w:p>
        </w:tc>
      </w:tr>
      <w:tr w:rsidR="00832EBD" w14:paraId="44F0A4AE" w14:textId="77777777" w:rsidTr="00BC64E0">
        <w:trPr>
          <w:cantSplit/>
        </w:trPr>
        <w:tc>
          <w:tcPr>
            <w:tcW w:w="4944" w:type="dxa"/>
          </w:tcPr>
          <w:p w14:paraId="5070037E" w14:textId="2E800192" w:rsidR="00832EBD" w:rsidRDefault="00DB0DC9" w:rsidP="00DB0DC9">
            <w:pPr>
              <w:jc w:val="both"/>
            </w:pPr>
            <w:r>
              <w:t>Atividades e ativos, em que a eliminação de resíduos a longo prazo pode causar danos no ambiente.</w:t>
            </w:r>
          </w:p>
        </w:tc>
        <w:tc>
          <w:tcPr>
            <w:tcW w:w="1971" w:type="dxa"/>
          </w:tcPr>
          <w:p w14:paraId="7442E797" w14:textId="77777777" w:rsidR="00832EBD" w:rsidRDefault="00832EBD" w:rsidP="00772372">
            <w:pPr>
              <w:jc w:val="both"/>
            </w:pPr>
          </w:p>
        </w:tc>
        <w:tc>
          <w:tcPr>
            <w:tcW w:w="1584" w:type="dxa"/>
          </w:tcPr>
          <w:p w14:paraId="45BB7E7F" w14:textId="77777777" w:rsidR="00832EBD" w:rsidRDefault="00832EBD" w:rsidP="00772372">
            <w:pPr>
              <w:jc w:val="both"/>
            </w:pPr>
          </w:p>
        </w:tc>
      </w:tr>
    </w:tbl>
    <w:p w14:paraId="646BB13B" w14:textId="079CB6C9" w:rsidR="00772372" w:rsidRDefault="00772372" w:rsidP="00772372">
      <w:pPr>
        <w:jc w:val="both"/>
      </w:pPr>
    </w:p>
    <w:p w14:paraId="5D131530" w14:textId="5ACB2ADD" w:rsidR="00447070" w:rsidRDefault="00447070" w:rsidP="00447070">
      <w:pPr>
        <w:spacing w:after="0" w:line="240" w:lineRule="auto"/>
        <w:jc w:val="both"/>
        <w:rPr>
          <w:rFonts w:ascii="Calibri" w:eastAsia="Times New Roman" w:hAnsi="Calibri" w:cs="Calibri"/>
          <w:noProof w:val="0"/>
          <w:color w:val="000000"/>
          <w:lang w:eastAsia="pt-PT"/>
        </w:rPr>
      </w:pPr>
      <w:r w:rsidRPr="00447070">
        <w:rPr>
          <w:rFonts w:ascii="Calibri" w:eastAsia="Times New Roman" w:hAnsi="Calibri" w:cs="Calibri"/>
          <w:noProof w:val="0"/>
          <w:color w:val="000000"/>
          <w:lang w:eastAsia="pt-PT"/>
        </w:rPr>
        <w:t xml:space="preserve">O </w:t>
      </w:r>
      <w:r w:rsidR="002670B2">
        <w:rPr>
          <w:rFonts w:ascii="Calibri" w:eastAsia="Times New Roman" w:hAnsi="Calibri" w:cs="Calibri"/>
          <w:noProof w:val="0"/>
          <w:color w:val="000000"/>
          <w:lang w:eastAsia="pt-PT"/>
        </w:rPr>
        <w:t>Responsáve</w:t>
      </w:r>
      <w:r w:rsidR="002E7C50">
        <w:rPr>
          <w:rFonts w:ascii="Calibri" w:eastAsia="Times New Roman" w:hAnsi="Calibri" w:cs="Calibri"/>
          <w:noProof w:val="0"/>
          <w:color w:val="000000"/>
          <w:lang w:eastAsia="pt-PT"/>
        </w:rPr>
        <w:t>l</w:t>
      </w:r>
      <w:r w:rsidRPr="00447070">
        <w:rPr>
          <w:rFonts w:ascii="Calibri" w:eastAsia="Times New Roman" w:hAnsi="Calibri" w:cs="Calibri"/>
          <w:noProof w:val="0"/>
          <w:color w:val="000000"/>
          <w:lang w:eastAsia="pt-PT"/>
        </w:rPr>
        <w:t xml:space="preserve"> </w:t>
      </w:r>
    </w:p>
    <w:p w14:paraId="289E9C58" w14:textId="67E0A253" w:rsidR="00447070" w:rsidRDefault="00447070" w:rsidP="00447070">
      <w:pPr>
        <w:spacing w:after="0" w:line="240" w:lineRule="auto"/>
        <w:jc w:val="both"/>
        <w:rPr>
          <w:rFonts w:ascii="Calibri" w:eastAsia="Times New Roman" w:hAnsi="Calibri" w:cs="Calibri"/>
          <w:noProof w:val="0"/>
          <w:color w:val="000000"/>
          <w:lang w:eastAsia="pt-PT"/>
        </w:rPr>
      </w:pPr>
    </w:p>
    <w:p w14:paraId="1FB60BED" w14:textId="65143FC4" w:rsidR="00447070" w:rsidRPr="00447070" w:rsidRDefault="00447070" w:rsidP="00447070">
      <w:pPr>
        <w:spacing w:after="0" w:line="240" w:lineRule="auto"/>
        <w:jc w:val="both"/>
        <w:rPr>
          <w:rFonts w:ascii="Calibri" w:eastAsia="Times New Roman" w:hAnsi="Calibri" w:cs="Calibri"/>
          <w:noProof w:val="0"/>
          <w:color w:val="000000"/>
          <w:lang w:eastAsia="pt-PT"/>
        </w:rPr>
      </w:pPr>
    </w:p>
    <w:p w14:paraId="221CE795" w14:textId="77777777" w:rsidR="00447070" w:rsidRDefault="00447070" w:rsidP="00772372">
      <w:pPr>
        <w:jc w:val="both"/>
      </w:pPr>
    </w:p>
    <w:sectPr w:rsidR="00447070" w:rsidSect="00772372">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68A69" w14:textId="77777777" w:rsidR="00FF2277" w:rsidRDefault="00FF2277" w:rsidP="00772372">
      <w:pPr>
        <w:spacing w:after="0" w:line="240" w:lineRule="auto"/>
      </w:pPr>
      <w:r>
        <w:separator/>
      </w:r>
    </w:p>
  </w:endnote>
  <w:endnote w:type="continuationSeparator" w:id="0">
    <w:p w14:paraId="0DA73154" w14:textId="77777777" w:rsidR="00FF2277" w:rsidRDefault="00FF2277" w:rsidP="0077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922E1" w14:textId="77777777" w:rsidR="00020D7C" w:rsidRDefault="00020D7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9C603" w14:textId="77777777" w:rsidR="00020D7C" w:rsidRDefault="00020D7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8D1C6" w14:textId="77777777" w:rsidR="00020D7C" w:rsidRDefault="00020D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28FAE" w14:textId="77777777" w:rsidR="00FF2277" w:rsidRDefault="00FF2277" w:rsidP="00772372">
      <w:pPr>
        <w:spacing w:after="0" w:line="240" w:lineRule="auto"/>
      </w:pPr>
      <w:r>
        <w:separator/>
      </w:r>
    </w:p>
  </w:footnote>
  <w:footnote w:type="continuationSeparator" w:id="0">
    <w:p w14:paraId="4CCE521B" w14:textId="77777777" w:rsidR="00FF2277" w:rsidRDefault="00FF2277" w:rsidP="00772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561BC" w14:textId="77777777" w:rsidR="00020D7C" w:rsidRDefault="00020D7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06933" w14:textId="1111FCDB" w:rsidR="00772372" w:rsidRDefault="00020D7C">
    <w:pPr>
      <w:pStyle w:val="Cabealho"/>
    </w:pPr>
    <w:r>
      <mc:AlternateContent>
        <mc:Choice Requires="wps">
          <w:drawing>
            <wp:anchor distT="0" distB="0" distL="114300" distR="114300" simplePos="0" relativeHeight="251657216" behindDoc="0" locked="0" layoutInCell="1" allowOverlap="1" wp14:anchorId="2A69BBE9" wp14:editId="37BCF521">
              <wp:simplePos x="0" y="0"/>
              <wp:positionH relativeFrom="column">
                <wp:posOffset>3305386</wp:posOffset>
              </wp:positionH>
              <wp:positionV relativeFrom="paragraph">
                <wp:posOffset>-144357</wp:posOffset>
              </wp:positionV>
              <wp:extent cx="2556933" cy="728191"/>
              <wp:effectExtent l="0" t="0" r="0" b="0"/>
              <wp:wrapNone/>
              <wp:docPr id="1299988288" name="CaixaDeTexto 3"/>
              <wp:cNvGraphicFramePr/>
              <a:graphic xmlns:a="http://schemas.openxmlformats.org/drawingml/2006/main">
                <a:graphicData uri="http://schemas.microsoft.com/office/word/2010/wordprocessingShape">
                  <wps:wsp>
                    <wps:cNvSpPr txBox="1"/>
                    <wps:spPr>
                      <a:xfrm>
                        <a:off x="0" y="0"/>
                        <a:ext cx="2556933" cy="72819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335038B" w14:textId="77777777" w:rsidR="00BC64E0" w:rsidRPr="00787FF7" w:rsidRDefault="00772372" w:rsidP="00BC64E0">
                          <w:pPr>
                            <w:rPr>
                              <w:rFonts w:hAnsi="Calibri"/>
                              <w:b/>
                              <w:bCs/>
                              <w:color w:val="000000" w:themeColor="text1"/>
                              <w:sz w:val="20"/>
                              <w:szCs w:val="20"/>
                            </w:rPr>
                          </w:pPr>
                          <w:r w:rsidRPr="00787FF7">
                            <w:rPr>
                              <w:rFonts w:hAnsi="Calibri"/>
                              <w:b/>
                              <w:bCs/>
                              <w:color w:val="000000" w:themeColor="text1"/>
                              <w:sz w:val="20"/>
                              <w:szCs w:val="20"/>
                            </w:rPr>
                            <w:t>INVESTIMENTO</w:t>
                          </w:r>
                        </w:p>
                        <w:p w14:paraId="7FE1533D" w14:textId="6FFCE10B" w:rsidR="00832EBD" w:rsidRPr="00787FF7" w:rsidRDefault="00832EBD" w:rsidP="00BC64E0">
                          <w:pPr>
                            <w:rPr>
                              <w:rFonts w:hAnsi="Calibri"/>
                              <w:b/>
                              <w:bCs/>
                              <w:color w:val="000000" w:themeColor="text1"/>
                              <w:sz w:val="20"/>
                              <w:szCs w:val="20"/>
                            </w:rPr>
                          </w:pPr>
                          <w:r w:rsidRPr="00787FF7">
                            <w:rPr>
                              <w:rFonts w:hAnsi="Calibri"/>
                              <w:b/>
                              <w:bCs/>
                              <w:color w:val="000000" w:themeColor="text1"/>
                              <w:sz w:val="20"/>
                              <w:szCs w:val="20"/>
                            </w:rPr>
                            <w:t>TD-C16-i02 Transição Digital das Empresas</w:t>
                          </w:r>
                        </w:p>
                      </w:txbxContent>
                    </wps:txbx>
                    <wps:bodyPr wrap="square" rtlCol="0" anchor="t">
                      <a:noAutofit/>
                    </wps:bodyPr>
                  </wps:wsp>
                </a:graphicData>
              </a:graphic>
              <wp14:sizeRelH relativeFrom="margin">
                <wp14:pctWidth>0</wp14:pctWidth>
              </wp14:sizeRelH>
            </wp:anchor>
          </w:drawing>
        </mc:Choice>
        <mc:Fallback>
          <w:pict>
            <v:shapetype w14:anchorId="2A69BBE9" id="_x0000_t202" coordsize="21600,21600" o:spt="202" path="m,l,21600r21600,l21600,xe">
              <v:stroke joinstyle="miter"/>
              <v:path gradientshapeok="t" o:connecttype="rect"/>
            </v:shapetype>
            <v:shape id="CaixaDeTexto 3" o:spid="_x0000_s1026" type="#_x0000_t202" style="position:absolute;margin-left:260.25pt;margin-top:-11.35pt;width:201.35pt;height:57.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" filled="f" stroked="f">
              <v:textbox>
                <w:txbxContent>
                  <w:p w14:paraId="1335038B" w14:textId="77777777" w:rsidR="00BC64E0" w:rsidRPr="00787FF7" w:rsidRDefault="00772372" w:rsidP="00BC64E0">
                    <w:pPr>
                      <w:rPr>
                        <w:rFonts w:hAnsi="Calibri"/>
                        <w:b/>
                        <w:bCs/>
                        <w:color w:val="000000" w:themeColor="text1"/>
                        <w:sz w:val="20"/>
                        <w:szCs w:val="20"/>
                      </w:rPr>
                    </w:pPr>
                    <w:r w:rsidRPr="00787FF7">
                      <w:rPr>
                        <w:rFonts w:hAnsi="Calibri"/>
                        <w:b/>
                        <w:bCs/>
                        <w:color w:val="000000" w:themeColor="text1"/>
                        <w:sz w:val="20"/>
                        <w:szCs w:val="20"/>
                      </w:rPr>
                      <w:t>INVESTIMENTO</w:t>
                    </w:r>
                  </w:p>
                  <w:p w14:paraId="7FE1533D" w14:textId="6FFCE10B" w:rsidR="00832EBD" w:rsidRPr="00787FF7" w:rsidRDefault="00832EBD" w:rsidP="00BC64E0">
                    <w:pPr>
                      <w:rPr>
                        <w:rFonts w:hAnsi="Calibri"/>
                        <w:b/>
                        <w:bCs/>
                        <w:color w:val="000000" w:themeColor="text1"/>
                        <w:sz w:val="20"/>
                        <w:szCs w:val="20"/>
                      </w:rPr>
                    </w:pPr>
                    <w:r w:rsidRPr="00787FF7">
                      <w:rPr>
                        <w:rFonts w:hAnsi="Calibri"/>
                        <w:b/>
                        <w:bCs/>
                        <w:color w:val="000000" w:themeColor="text1"/>
                        <w:sz w:val="20"/>
                        <w:szCs w:val="20"/>
                      </w:rPr>
                      <w:t>TD-C16-i02 Transição Digital das Empresas</w:t>
                    </w:r>
                  </w:p>
                </w:txbxContent>
              </v:textbox>
            </v:shape>
          </w:pict>
        </mc:Fallback>
      </mc:AlternateContent>
    </w:r>
    <w:r w:rsidR="00787FF7">
      <w:rPr>
        <w:rFonts w:ascii="Avenir Next LT Pro Demi" w:hAnsi="Avenir Next LT Pro Demi"/>
        <w:b/>
        <w:bCs/>
        <w:color w:val="00B050"/>
        <w:sz w:val="24"/>
        <w:szCs w:val="24"/>
      </w:rPr>
      <w:drawing>
        <wp:anchor distT="0" distB="0" distL="114300" distR="114300" simplePos="0" relativeHeight="251660288" behindDoc="0" locked="0" layoutInCell="1" allowOverlap="1" wp14:anchorId="2DFAA276" wp14:editId="47212CBE">
          <wp:simplePos x="0" y="0"/>
          <wp:positionH relativeFrom="column">
            <wp:posOffset>-622935</wp:posOffset>
          </wp:positionH>
          <wp:positionV relativeFrom="paragraph">
            <wp:posOffset>-153247</wp:posOffset>
          </wp:positionV>
          <wp:extent cx="3733800" cy="538850"/>
          <wp:effectExtent l="0" t="0" r="0" b="0"/>
          <wp:wrapNone/>
          <wp:docPr id="31" name="Imagem 31" descr="Uma imagem com texto,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 captura de ecrã, Tipo de letra, logó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777477" cy="54515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B0FBE" w14:textId="77777777" w:rsidR="00020D7C" w:rsidRDefault="00020D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3E6851"/>
    <w:multiLevelType w:val="hybridMultilevel"/>
    <w:tmpl w:val="0B005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8635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72"/>
    <w:rsid w:val="00020D7C"/>
    <w:rsid w:val="00043106"/>
    <w:rsid w:val="00055061"/>
    <w:rsid w:val="000D2655"/>
    <w:rsid w:val="0016597F"/>
    <w:rsid w:val="001C1771"/>
    <w:rsid w:val="001F0F32"/>
    <w:rsid w:val="002670B2"/>
    <w:rsid w:val="002766BF"/>
    <w:rsid w:val="002E7C50"/>
    <w:rsid w:val="0040790F"/>
    <w:rsid w:val="00425F73"/>
    <w:rsid w:val="00447070"/>
    <w:rsid w:val="004A2863"/>
    <w:rsid w:val="004E7152"/>
    <w:rsid w:val="0055122D"/>
    <w:rsid w:val="00651310"/>
    <w:rsid w:val="006C154E"/>
    <w:rsid w:val="007467A0"/>
    <w:rsid w:val="00772372"/>
    <w:rsid w:val="00787FF7"/>
    <w:rsid w:val="00790B93"/>
    <w:rsid w:val="00832EBD"/>
    <w:rsid w:val="009B554B"/>
    <w:rsid w:val="00A5495B"/>
    <w:rsid w:val="00B07245"/>
    <w:rsid w:val="00B26F4B"/>
    <w:rsid w:val="00B86B22"/>
    <w:rsid w:val="00BA1ACE"/>
    <w:rsid w:val="00BC64E0"/>
    <w:rsid w:val="00BF1B94"/>
    <w:rsid w:val="00C52B6B"/>
    <w:rsid w:val="00CC5CE6"/>
    <w:rsid w:val="00D461F9"/>
    <w:rsid w:val="00D61C92"/>
    <w:rsid w:val="00D8005C"/>
    <w:rsid w:val="00DB0DC9"/>
    <w:rsid w:val="00DC3B7C"/>
    <w:rsid w:val="00DE6552"/>
    <w:rsid w:val="00E54A3E"/>
    <w:rsid w:val="00E80EE2"/>
    <w:rsid w:val="00E82C1E"/>
    <w:rsid w:val="00E94AE9"/>
    <w:rsid w:val="00EE3968"/>
    <w:rsid w:val="00F3027B"/>
    <w:rsid w:val="00F64D3F"/>
    <w:rsid w:val="00FF227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26C09"/>
  <w15:chartTrackingRefBased/>
  <w15:docId w15:val="{05D11C9B-28DF-4514-BDAD-7887744F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7237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2372"/>
    <w:rPr>
      <w:noProof/>
    </w:rPr>
  </w:style>
  <w:style w:type="paragraph" w:styleId="Rodap">
    <w:name w:val="footer"/>
    <w:basedOn w:val="Normal"/>
    <w:link w:val="RodapCarter"/>
    <w:uiPriority w:val="99"/>
    <w:unhideWhenUsed/>
    <w:rsid w:val="0077237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2372"/>
    <w:rPr>
      <w:noProof/>
    </w:rPr>
  </w:style>
  <w:style w:type="table" w:styleId="TabelacomGrelha">
    <w:name w:val="Table Grid"/>
    <w:basedOn w:val="Tabelanormal"/>
    <w:uiPriority w:val="59"/>
    <w:rsid w:val="00772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16597F"/>
    <w:rPr>
      <w:color w:val="808080"/>
    </w:rPr>
  </w:style>
  <w:style w:type="paragraph" w:styleId="PargrafodaLista">
    <w:name w:val="List Paragraph"/>
    <w:aliases w:val="Task Body,Viñetas (Inicio Parrafo),Paragrafo elenco,3 Txt tabla,Zerrenda-paragrafoa,Dot pt,F5 List Paragraph,List Paragraph1,No Spacing1,List Paragraph Char Char Char,Indicator Text,Numbered Para 1,Bullet Points,MAIN CONTENT,Bullet 1"/>
    <w:basedOn w:val="Normal"/>
    <w:link w:val="PargrafodaListaCarter"/>
    <w:uiPriority w:val="34"/>
    <w:qFormat/>
    <w:rsid w:val="00BC64E0"/>
    <w:pPr>
      <w:ind w:left="720"/>
      <w:contextualSpacing/>
      <w:jc w:val="both"/>
    </w:pPr>
    <w:rPr>
      <w:noProof w:val="0"/>
    </w:rPr>
  </w:style>
  <w:style w:type="character" w:customStyle="1" w:styleId="PargrafodaListaCarter">
    <w:name w:val="Parágrafo da Lista Caráter"/>
    <w:aliases w:val="Task Body Caráter,Viñetas (Inicio Parrafo) Caráter,Paragrafo elenco Caráter,3 Txt tabla Caráter,Zerrenda-paragrafoa Caráter,Dot pt Caráter,F5 List Paragraph Caráter,List Paragraph1 Caráter,No Spacing1 Caráter,Bullet 1 Caráter"/>
    <w:link w:val="PargrafodaLista"/>
    <w:uiPriority w:val="34"/>
    <w:qFormat/>
    <w:locked/>
    <w:rsid w:val="00BC6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75053">
      <w:bodyDiv w:val="1"/>
      <w:marLeft w:val="0"/>
      <w:marRight w:val="0"/>
      <w:marTop w:val="0"/>
      <w:marBottom w:val="0"/>
      <w:divBdr>
        <w:top w:val="none" w:sz="0" w:space="0" w:color="auto"/>
        <w:left w:val="none" w:sz="0" w:space="0" w:color="auto"/>
        <w:bottom w:val="none" w:sz="0" w:space="0" w:color="auto"/>
        <w:right w:val="none" w:sz="0" w:space="0" w:color="auto"/>
      </w:divBdr>
    </w:div>
    <w:div w:id="1150438194">
      <w:bodyDiv w:val="1"/>
      <w:marLeft w:val="0"/>
      <w:marRight w:val="0"/>
      <w:marTop w:val="0"/>
      <w:marBottom w:val="0"/>
      <w:divBdr>
        <w:top w:val="none" w:sz="0" w:space="0" w:color="auto"/>
        <w:left w:val="none" w:sz="0" w:space="0" w:color="auto"/>
        <w:bottom w:val="none" w:sz="0" w:space="0" w:color="auto"/>
        <w:right w:val="none" w:sz="0" w:space="0" w:color="auto"/>
      </w:divBdr>
    </w:div>
    <w:div w:id="1389644103">
      <w:bodyDiv w:val="1"/>
      <w:marLeft w:val="0"/>
      <w:marRight w:val="0"/>
      <w:marTop w:val="0"/>
      <w:marBottom w:val="0"/>
      <w:divBdr>
        <w:top w:val="none" w:sz="0" w:space="0" w:color="auto"/>
        <w:left w:val="none" w:sz="0" w:space="0" w:color="auto"/>
        <w:bottom w:val="none" w:sz="0" w:space="0" w:color="auto"/>
        <w:right w:val="none" w:sz="0" w:space="0" w:color="auto"/>
      </w:divBdr>
    </w:div>
    <w:div w:id="1662662498">
      <w:bodyDiv w:val="1"/>
      <w:marLeft w:val="0"/>
      <w:marRight w:val="0"/>
      <w:marTop w:val="0"/>
      <w:marBottom w:val="0"/>
      <w:divBdr>
        <w:top w:val="none" w:sz="0" w:space="0" w:color="auto"/>
        <w:left w:val="none" w:sz="0" w:space="0" w:color="auto"/>
        <w:bottom w:val="none" w:sz="0" w:space="0" w:color="auto"/>
        <w:right w:val="none" w:sz="0" w:space="0" w:color="auto"/>
      </w:divBdr>
    </w:div>
    <w:div w:id="18432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F3E989D26819C42BF57514C3A6A2F91" ma:contentTypeVersion="13" ma:contentTypeDescription="Criar um novo documento." ma:contentTypeScope="" ma:versionID="723640179515dc2fd94f2b6fd34b1873">
  <xsd:schema xmlns:xsd="http://www.w3.org/2001/XMLSchema" xmlns:xs="http://www.w3.org/2001/XMLSchema" xmlns:p="http://schemas.microsoft.com/office/2006/metadata/properties" xmlns:ns3="c89f3c6e-7659-4d29-9e73-bfd6664ca4fc" xmlns:ns4="c5d3e2b6-be4b-4f15-b544-60f13ac4b911" targetNamespace="http://schemas.microsoft.com/office/2006/metadata/properties" ma:root="true" ma:fieldsID="c33aa1c3a873ea2999fb3ea6a8448f92" ns3:_="" ns4:_="">
    <xsd:import namespace="c89f3c6e-7659-4d29-9e73-bfd6664ca4fc"/>
    <xsd:import namespace="c5d3e2b6-be4b-4f15-b544-60f13ac4b9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f3c6e-7659-4d29-9e73-bfd6664ca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d3e2b6-be4b-4f15-b544-60f13ac4b911"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DDDA7-9182-49A9-B0DA-C999DC9EE8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E32E04-4581-4DC4-84E9-F0FB268C7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f3c6e-7659-4d29-9e73-bfd6664ca4fc"/>
    <ds:schemaRef ds:uri="c5d3e2b6-be4b-4f15-b544-60f13ac4b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01905D-BD90-4441-8026-EEBCEA83EA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2494</Characters>
  <Application>Microsoft Office Word</Application>
  <DocSecurity>4</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Bela Esquina</dc:creator>
  <cp:keywords/>
  <dc:description/>
  <cp:lastModifiedBy>Americo Monteiro</cp:lastModifiedBy>
  <cp:revision>2</cp:revision>
  <dcterms:created xsi:type="dcterms:W3CDTF">2025-02-25T13:48:00Z</dcterms:created>
  <dcterms:modified xsi:type="dcterms:W3CDTF">2025-02-25T13:48:00Z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0x0101001F3E989D26819C42BF57514C3A6A2F91</vt:lpwstr>
  </property>
</Properties>
</file>