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9FD66" w14:textId="77777777" w:rsidR="00246965" w:rsidRDefault="00000000" w:rsidP="007A4BF0">
      <w:pPr>
        <w:spacing w:after="0"/>
        <w:jc w:val="center"/>
        <w:rPr>
          <w:rFonts w:ascii="Calibri" w:hAnsi="Calibri"/>
          <w:b/>
          <w:sz w:val="16"/>
          <w:szCs w:val="16"/>
        </w:rPr>
      </w:pPr>
      <w:r>
        <w:rPr>
          <w:rFonts w:ascii="Calibri" w:hAnsi="Calibri"/>
          <w:b/>
          <w:sz w:val="28"/>
        </w:rPr>
        <w:t>INSTITUTO DE EDUCACIÓN SUPERIOR PÚBLICO</w:t>
      </w:r>
      <w:r w:rsidR="007A4BF0">
        <w:rPr>
          <w:rFonts w:ascii="Calibri" w:hAnsi="Calibri"/>
          <w:b/>
          <w:sz w:val="28"/>
        </w:rPr>
        <w:br/>
      </w:r>
      <w:r>
        <w:rPr>
          <w:rFonts w:ascii="Calibri" w:hAnsi="Calibri"/>
          <w:b/>
          <w:sz w:val="28"/>
        </w:rPr>
        <w:t>«DISEÑO Y COMUNICACIÓN»</w:t>
      </w:r>
      <w:r w:rsidR="00246965">
        <w:rPr>
          <w:rFonts w:ascii="Calibri" w:hAnsi="Calibri"/>
          <w:b/>
          <w:sz w:val="28"/>
        </w:rPr>
        <w:br/>
      </w:r>
    </w:p>
    <w:p w14:paraId="2DEC6F46" w14:textId="3ADB243D" w:rsidR="00C458A3" w:rsidRDefault="00246965" w:rsidP="007A4BF0">
      <w:pPr>
        <w:spacing w:after="0"/>
        <w:jc w:val="center"/>
        <w:rPr>
          <w:rFonts w:ascii="Calibri" w:hAnsi="Calibri"/>
          <w:b/>
          <w:sz w:val="28"/>
        </w:rPr>
      </w:pPr>
      <w:r w:rsidRPr="00246965">
        <w:rPr>
          <w:rFonts w:ascii="Calibri" w:hAnsi="Calibri"/>
          <w:b/>
          <w:sz w:val="16"/>
          <w:szCs w:val="16"/>
        </w:rPr>
        <w:t>LICENCIADO POR MINEDU - RVM N° 164 - 2025</w:t>
      </w:r>
    </w:p>
    <w:p w14:paraId="3BF1C03A" w14:textId="77777777" w:rsidR="007A4BF0" w:rsidRDefault="007A4BF0" w:rsidP="007A4BF0">
      <w:pPr>
        <w:spacing w:after="0"/>
        <w:jc w:val="center"/>
      </w:pPr>
    </w:p>
    <w:p w14:paraId="543D8B54" w14:textId="01B00D08" w:rsidR="00C458A3" w:rsidRDefault="007A4BF0" w:rsidP="007A4BF0">
      <w:pPr>
        <w:spacing w:before="240" w:line="600" w:lineRule="auto"/>
        <w:jc w:val="center"/>
      </w:pPr>
      <w:r>
        <w:rPr>
          <w:noProof/>
        </w:rPr>
        <w:drawing>
          <wp:inline distT="0" distB="0" distL="0" distR="0" wp14:anchorId="59F08C93" wp14:editId="0F8533F2">
            <wp:extent cx="3238500" cy="1217570"/>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stretch>
                      <a:fillRect/>
                    </a:stretch>
                  </pic:blipFill>
                  <pic:spPr>
                    <a:xfrm>
                      <a:off x="0" y="0"/>
                      <a:ext cx="3238500" cy="1217570"/>
                    </a:xfrm>
                    <a:prstGeom prst="rect">
                      <a:avLst/>
                    </a:prstGeom>
                  </pic:spPr>
                </pic:pic>
              </a:graphicData>
            </a:graphic>
          </wp:inline>
        </w:drawing>
      </w:r>
    </w:p>
    <w:p>
      <w:pPr>
        <w:spacing w:before="0" w:after="60" w:line="276" w:lineRule="auto"/>
        <w:jc w:val="center"/>
      </w:pPr>
      <w:r>
        <w:rPr>
          <w:rFonts w:ascii="Calibri" w:hAnsi="Calibri" w:cs="Calibri"/>
          <w:b/>
          <w:bCs/>
          <w:color w:val="000000"/>
          <w:sz w:val="28"/>
          <w:szCs w:val="28"/>
          <w:lang w:val="es-PE"/>
        </w:rPr>
        <w:t xml:space="preserve">EXAMEN DE SUFICIENCIA PROFESIONAL (ESP)</w:t>
      </w:r>
    </w:p>
    <w:p>
      <w:pPr>
        <w:spacing w:before="0" w:after="240" w:line="276" w:lineRule="auto"/>
        <w:jc w:val="center"/>
      </w:pPr>
      <w:r>
        <w:rPr>
          <w:rFonts w:ascii="Calibri" w:hAnsi="Calibri" w:cs="Calibri"/>
          <w:color w:val="000000"/>
          <w:sz w:val="24"/>
          <w:szCs w:val="24"/>
          <w:lang w:val="es-PE"/>
        </w:rPr>
        <w:t xml:space="preserve">Portafolio académico</w:t>
      </w:r>
    </w:p>
    <w:tbl>
      <w:tblPr>
        <w:tblW w:w="8788" w:type="dxa"/>
        <w:jc w:val="center"/>
      </w:tblPr>
      <w:tblGrid>
        <w:gridCol w:w="8788"/>
      </w:tblGrid>
      <w:tr>
        <w:tc>
          <w:tcPr>
            <w:tcW w:w="8788" w:type="dxa"/>
            <w:shd w:val="clear" w:color="auto" w:fill="DEEAF1"/>
            <w:vAlign w:val="center"/>
          </w:tcPr>
          <w:p>
            <w:pPr>
              <w:spacing w:before="120" w:after="120" w:line="276" w:lineRule="auto"/>
              <w:jc w:val="center"/>
            </w:pPr>
            <w:r>
              <w:rPr>
                <w:rFonts w:ascii="Calibri" w:hAnsi="Calibri" w:cs="Calibri"/>
                <w:b/>
                <w:bCs/>
                <w:color w:val="000000"/>
                <w:sz w:val="26"/>
                <w:szCs w:val="26"/>
                <w:lang w:val="es-PE"/>
              </w:rPr>
              <w:t xml:space="preserve">Diseño interior y equipamiento de una cafetería de especialidad de 85 m² en el distrito de Barranco, Lima, 2025</w:t>
            </w:r>
          </w:p>
        </w:tc>
      </w:tr>
    </w:tbl>
    <w:p>
      <w:pPr>
        <w:spacing w:after="120"/>
      </w:pPr>
    </w:p>
    <w:p>
      <w:pPr>
        <w:spacing w:before="0" w:after="60" w:line="276" w:lineRule="auto"/>
        <w:jc w:val="center"/>
      </w:pPr>
      <w:r>
        <w:rPr>
          <w:rFonts w:ascii="Calibri" w:hAnsi="Calibri" w:cs="Calibri"/>
          <w:b/>
          <w:bCs/>
          <w:color w:val="000000"/>
          <w:sz w:val="22"/>
          <w:szCs w:val="22"/>
          <w:lang w:val="es-PE"/>
        </w:rPr>
        <w:t xml:space="preserve">Programa de Estudios: Diseño de Interiores</w:t>
      </w:r>
    </w:p>
    <w:p>
      <w:pPr>
        <w:spacing w:before="0" w:after="240" w:line="276" w:lineRule="auto"/>
        <w:jc w:val="center"/>
      </w:pPr>
      <w:r>
        <w:rPr>
          <w:rFonts w:ascii="Calibri" w:hAnsi="Calibri" w:cs="Calibri"/>
          <w:color w:val="000000"/>
          <w:sz w:val="22"/>
          <w:szCs w:val="22"/>
          <w:lang w:val="es-PE"/>
        </w:rPr>
        <w:t xml:space="preserve">Módulo III: Diseño Interior Comercial, Gestión y Organización de Obras Interioristas</w:t>
      </w:r>
    </w:p>
    <w:p>
      <w:pPr>
        <w:spacing w:before="0" w:after="80" w:line="276" w:lineRule="auto"/>
        <w:jc w:val="center"/>
      </w:pPr>
      <w:r>
        <w:rPr>
          <w:rFonts w:ascii="Calibri" w:hAnsi="Calibri" w:cs="Calibri"/>
          <w:b/>
          <w:bCs/>
          <w:color w:val="000000"/>
          <w:sz w:val="22"/>
          <w:szCs w:val="22"/>
          <w:lang w:val="es-PE"/>
        </w:rPr>
        <w:t xml:space="preserve">Presentado por:</w:t>
      </w:r>
    </w:p>
    <w:tbl>
      <w:tblPr>
        <w:tblW w:w="878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4200"/>
        <w:gridCol w:w="1700"/>
        <w:gridCol w:w="2888"/>
      </w:tblGrid>
      <w:tr>
        <w:trPr>
          <w:tblHeader/>
        </w:trPr>
        <w:tc>
          <w:tcPr>
            <w:tcW w:w="42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Apellidos y nombres</w:t>
            </w:r>
          </w:p>
        </w:tc>
        <w:tc>
          <w:tcPr>
            <w:tcW w:w="17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DNI</w:t>
            </w:r>
          </w:p>
        </w:tc>
        <w:tc>
          <w:tcPr>
            <w:tcW w:w="2888"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Correo institucional</w:t>
            </w:r>
          </w:p>
        </w:tc>
      </w:tr>
      <w:tr>
        <w:trPr>
          <w:cantSplit/>
        </w:trPr>
        <w:tc>
          <w:tcPr>
            <w:tcW w:w="42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VALENZUELA QUISPE, Alex David</w:t>
            </w:r>
          </w:p>
        </w:tc>
        <w:tc>
          <w:tcPr>
            <w:tcW w:w="17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40123456</w:t>
            </w:r>
          </w:p>
        </w:tc>
        <w:tc>
          <w:tcPr>
            <w:tcW w:w="28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valenzuelaa@idc.edu.pe</w:t>
            </w:r>
          </w:p>
        </w:tc>
      </w:tr>
    </w:tbl>
    <w:p>
      <w:pPr>
        <w:spacing w:after="120"/>
      </w:pPr>
    </w:p>
    <w:p>
      <w:pPr>
        <w:spacing w:before="120" w:after="40" w:line="276" w:lineRule="auto"/>
        <w:jc w:val="center"/>
      </w:pPr>
      <w:r>
        <w:rPr>
          <w:rFonts w:ascii="Calibri" w:hAnsi="Calibri" w:cs="Calibri"/>
          <w:b/>
          <w:bCs/>
          <w:color w:val="000000"/>
          <w:sz w:val="22"/>
          <w:szCs w:val="22"/>
          <w:lang w:val="es-PE"/>
        </w:rPr>
        <w:t xml:space="preserve">Docente orientador:</w:t>
      </w:r>
    </w:p>
    <w:p>
      <w:pPr>
        <w:spacing w:before="0" w:after="160" w:line="276" w:lineRule="auto"/>
        <w:jc w:val="center"/>
      </w:pPr>
      <w:r>
        <w:rPr>
          <w:rFonts w:ascii="Calibri" w:hAnsi="Calibri" w:cs="Calibri"/>
          <w:color w:val="000000"/>
          <w:sz w:val="22"/>
          <w:szCs w:val="22"/>
          <w:lang w:val="es-PE"/>
        </w:rPr>
        <w:t xml:space="preserve">Mg. Rojas Salinas, Patricia</w:t>
      </w:r>
    </w:p>
    <w:p>
      <w:pPr>
        <w:spacing w:before="0" w:after="240" w:line="276" w:lineRule="auto"/>
        <w:jc w:val="center"/>
      </w:pPr>
      <w:r>
        <w:rPr>
          <w:rFonts w:ascii="Calibri" w:hAnsi="Calibri" w:cs="Calibri"/>
          <w:color w:val="000000"/>
          <w:sz w:val="22"/>
          <w:szCs w:val="22"/>
          <w:lang w:val="es-PE"/>
        </w:rPr>
        <w:t xml:space="preserve">Año de egreso: 2024  ·  Promoción 2024</w:t>
      </w:r>
    </w:p>
    <w:p>
      <w:pPr>
        <w:spacing w:before="0" w:after="0" w:line="276" w:lineRule="auto"/>
        <w:jc w:val="center"/>
      </w:pPr>
      <w:r>
        <w:rPr>
          <w:rFonts w:ascii="Calibri" w:hAnsi="Calibri" w:cs="Calibri"/>
          <w:b/>
          <w:bCs/>
          <w:color w:val="000000"/>
          <w:sz w:val="22"/>
          <w:szCs w:val="22"/>
          <w:lang w:val="es-PE"/>
        </w:rPr>
        <w:t xml:space="preserve">Lima, Perú</w:t>
      </w:r>
    </w:p>
    <w:p>
      <w:pPr>
        <w:spacing w:before="0" w:after="0" w:line="276" w:lineRule="auto"/>
        <w:jc w:val="center"/>
      </w:pPr>
      <w:r>
        <w:rPr>
          <w:rFonts w:ascii="Calibri" w:hAnsi="Calibri" w:cs="Calibri"/>
          <w:b/>
          <w:bCs/>
          <w:color w:val="000000"/>
          <w:sz w:val="22"/>
          <w:szCs w:val="22"/>
          <w:lang w:val="es-PE"/>
        </w:rPr>
        <w:t xml:space="preserve">2026</w:t>
      </w:r>
    </w:p>
    <w:p>
      <w:pPr>
        <w:sectPr w:rsidR="00A21C98" w:rsidSect="00034616">
          <w:pgSz w:w="11906" w:h="16838"/>
          <w:pgMar w:top="1417" w:right="1417" w:bottom="1417" w:left="1701" w:header="720" w:footer="720" w:gutter="0"/>
          <w:cols w:space="720"/>
          <w:docGrid w:linePitch="360"/>
        </w:sectPr>
      </w:pPr>
    </w:p>
    <w:p>
      <w:pPr>
        <w:pStyle w:val="Ttulo1"/>
        <w:keepNext/>
        <w:spacing w:before="240" w:after="240" w:line="360" w:lineRule="auto"/>
        <w:jc w:val="center"/>
      </w:pPr>
      <w:r>
        <w:rPr>
          <w:rFonts w:ascii="Calibri" w:hAnsi="Calibri" w:cs="Calibri"/>
          <w:b/>
          <w:bCs/>
          <w:color w:val="000000"/>
          <w:sz w:val="28"/>
          <w:szCs w:val="28"/>
          <w:lang w:val="es-PE"/>
        </w:rPr>
        <w:t xml:space="preserve">DECLARACIÓN DE USO DE INTELIGENCIA ARTIFICIAL</w:t>
      </w:r>
    </w:p>
    <w:p>
      <w:pPr>
        <w:spacing w:before="0" w:after="120" w:line="360" w:lineRule="auto"/>
        <w:ind w:firstLine="708"/>
        <w:jc w:val="both"/>
      </w:pPr>
      <w:r>
        <w:rPr>
          <w:rFonts w:ascii="Calibri" w:hAnsi="Calibri" w:cs="Calibri"/>
          <w:color w:val="000000"/>
          <w:sz w:val="22"/>
          <w:szCs w:val="22"/>
          <w:lang w:val="es-PE"/>
        </w:rPr>
        <w:t xml:space="preserve">Conforme al Reglamento IA IDC (2026), declaro el uso de herramientas de inteligencia artificial generativa en la elaboración del presente portafolio, con el nivel de asistencia, las herramientas y las tareas que se detallan a continuación. El contenido generado fue revisado y adaptado por el autor, quien asume la responsabilidad sobre la versión final.</w:t>
      </w:r>
    </w:p>
    <w:tbl>
      <w:tblPr>
        <w:tblW w:w="878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3000"/>
        <w:gridCol w:w="5788"/>
      </w:tblGrid>
      <w:tr>
        <w:trPr>
          <w:tblHeader/>
        </w:trPr>
        <w:tc>
          <w:tcPr>
            <w:tcW w:w="30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Elemento</w:t>
            </w:r>
          </w:p>
        </w:tc>
        <w:tc>
          <w:tcPr>
            <w:tcW w:w="5788"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Declaración</w:t>
            </w:r>
          </w:p>
        </w:tc>
      </w:tr>
      <w:tr>
        <w:trPr>
          <w:cantSplit/>
        </w:trPr>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Nivel de asistencia (escala AIAS 1–5)</w:t>
            </w:r>
          </w:p>
        </w:tc>
        <w:tc>
          <w:tcPr>
            <w:tcW w:w="57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Nivel 2 — Planificación con IA</w:t>
            </w:r>
          </w:p>
        </w:tc>
      </w:tr>
      <w:tr>
        <w:trPr>
          <w:cantSplit/>
        </w:trPr>
        <w:tc>
          <w:tcPr>
            <w:tcW w:w="30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Herramientas empleadas (nombre + versión + desarrollador)</w:t>
            </w:r>
          </w:p>
        </w:tc>
        <w:tc>
          <w:tcPr>
            <w:tcW w:w="57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ChatGPT (versión utilizada en 2026) — OpenAI</w:t>
            </w:r>
          </w:p>
        </w:tc>
      </w:tr>
      <w:tr>
        <w:trPr>
          <w:cantSplit/>
        </w:trPr>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Tareas concretas asistidas</w:t>
            </w:r>
          </w:p>
        </w:tc>
        <w:tc>
          <w:tcPr>
            <w:tcW w:w="57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ChatGPT: revisión ortográfica de la presentación y sugerencia de estructura para las conclusiones; el texto final fue reescrito por el autor.</w:t>
            </w:r>
          </w:p>
        </w:tc>
      </w:tr>
    </w:tbl>
    <w:p>
      <w:pPr>
        <w:spacing w:after="120"/>
      </w:pPr>
    </w:p>
    <w:tbl>
      <w:tblPr>
        <w:tblW w:w="8788" w:type="dxa"/>
        <w:jc w:val="center"/>
      </w:tblPr>
      <w:tblGrid>
        <w:gridCol w:w="8788"/>
      </w:tblGrid>
      <w:tr>
        <w:tc>
          <w:tcPr>
            <w:tcW w:w="8788" w:type="dxa"/>
            <w:shd w:val="clear" w:color="auto" w:fill="FFF2CC"/>
          </w:tcPr>
          <w:p>
            <w:pPr>
              <w:spacing w:before="80" w:after="80" w:line="276" w:lineRule="auto"/>
              <w:jc w:val="both"/>
            </w:pPr>
            <w:r>
              <w:rPr>
                <w:rFonts w:ascii="Calibri" w:hAnsi="Calibri" w:cs="Calibri"/>
                <w:b/>
                <w:bCs/>
                <w:color w:val="000000"/>
                <w:sz w:val="20"/>
                <w:szCs w:val="20"/>
                <w:lang w:val="es-PE"/>
              </w:rPr>
              <w:t xml:space="preserve">Nota: </w:t>
            </w:r>
            <w:r>
              <w:rPr>
                <w:rFonts w:ascii="Calibri" w:hAnsi="Calibri" w:cs="Calibri"/>
                <w:i/>
                <w:iCs/>
                <w:color w:val="595959"/>
                <w:sz w:val="20"/>
                <w:szCs w:val="20"/>
                <w:lang w:val="es-PE"/>
              </w:rPr>
              <w:t xml:space="preserve">Cada imagen generada con IA se numera como Figura, con una nota que explicita herramienta, empresa, año, prompt completo y si fue editada. Las herramientas citadas se registran en las fuentes de información (APA 7.ª).</w:t>
            </w:r>
          </w:p>
        </w:tc>
      </w:tr>
    </w:tbl>
    <w:p>
      <w:pPr>
        <w:spacing w:after="120"/>
      </w:pPr>
    </w:p>
    <w:p>
      <w:r>
        <w:br w:type="page"/>
      </w:r>
    </w:p>
    <w:p>
      <w:pPr>
        <w:pStyle w:val="Ttulo1"/>
        <w:keepNext/>
        <w:spacing w:before="240" w:after="240" w:line="360" w:lineRule="auto"/>
        <w:jc w:val="center"/>
      </w:pPr>
      <w:r>
        <w:rPr>
          <w:rFonts w:ascii="Calibri" w:hAnsi="Calibri" w:cs="Calibri"/>
          <w:b/>
          <w:bCs/>
          <w:color w:val="000000"/>
          <w:sz w:val="28"/>
          <w:szCs w:val="28"/>
          <w:lang w:val="es-PE"/>
        </w:rPr>
        <w:t xml:space="preserve">DEDICATORIA</w:t>
      </w:r>
    </w:p>
    <w:p>
      <w:pPr>
        <w:spacing w:before="0" w:after="120" w:line="360" w:lineRule="auto"/>
        <w:ind w:firstLine="708"/>
        <w:jc w:val="both"/>
      </w:pPr>
      <w:r>
        <w:rPr>
          <w:rFonts w:ascii="Calibri" w:hAnsi="Calibri" w:cs="Calibri"/>
          <w:color w:val="000000"/>
          <w:sz w:val="22"/>
          <w:szCs w:val="22"/>
          <w:lang w:val="es-PE"/>
        </w:rPr>
        <w:t xml:space="preserve">A mis padres, por el apoyo brindado durante mis estudios en el IDC y mis primeros años de ejercicio profesional.</w:t>
      </w:r>
    </w:p>
    <w:p>
      <w:r>
        <w:br w:type="page"/>
      </w:r>
    </w:p>
    <w:p>
      <w:pPr>
        <w:pStyle w:val="Ttulo1"/>
        <w:keepNext/>
        <w:spacing w:before="240" w:after="240" w:line="360" w:lineRule="auto"/>
        <w:jc w:val="center"/>
      </w:pPr>
      <w:r>
        <w:rPr>
          <w:rFonts w:ascii="Calibri" w:hAnsi="Calibri" w:cs="Calibri"/>
          <w:b/>
          <w:bCs/>
          <w:color w:val="000000"/>
          <w:sz w:val="28"/>
          <w:szCs w:val="28"/>
          <w:lang w:val="es-PE"/>
        </w:rPr>
        <w:t xml:space="preserve">AGRADECIMIENTO</w:t>
      </w:r>
    </w:p>
    <w:p>
      <w:pPr>
        <w:spacing w:before="0" w:after="120" w:line="360" w:lineRule="auto"/>
        <w:ind w:firstLine="708"/>
        <w:jc w:val="both"/>
      </w:pPr>
      <w:r>
        <w:rPr>
          <w:rFonts w:ascii="Calibri" w:hAnsi="Calibri" w:cs="Calibri"/>
          <w:color w:val="000000"/>
          <w:sz w:val="22"/>
          <w:szCs w:val="22"/>
          <w:lang w:val="es-PE"/>
        </w:rPr>
        <w:t xml:space="preserve">Al Instituto de Educación Superior Público «Diseño y Comunicación», por la formación recibida en el Programa de Estudios de Diseño de Interiores. A mi docente orientadora, Mg. Patricia Rojas Salinas, por la revisión técnica del portafolio. A Raíz Café S.A.C., por autorizar la documentación del proyecto y el uso de sus planos y fotografías. Al taller de carpintería que fabricó el mobiliario, por facilitar el registro del proceso de producción.</w:t>
      </w:r>
    </w:p>
    <w:p>
      <w:r>
        <w:br w:type="page"/>
      </w:r>
    </w:p>
    <w:p>
      <w:pPr>
        <w:spacing w:before="240" w:after="240" w:line="276" w:lineRule="auto"/>
        <w:jc w:val="center"/>
      </w:pPr>
      <w:r>
        <w:rPr>
          <w:rFonts w:ascii="Calibri" w:hAnsi="Calibri" w:cs="Calibri"/>
          <w:b/>
          <w:bCs/>
          <w:color w:val="000000"/>
          <w:sz w:val="28"/>
          <w:szCs w:val="28"/>
          <w:lang w:val="es-PE"/>
        </w:rPr>
        <w:t xml:space="preserve">ÍNDICE</w:t>
      </w:r>
    </w:p>
    <w:p>
      <w:pPr>
        <w:spacing w:before="0" w:after="0" w:line="360" w:lineRule="auto"/>
        <w:jc w:val="left"/>
      </w:pPr>
      <w:r>
        <w:fldChar w:fldCharType="begin" w:dirty="true"/>
      </w:r>
      <w:r>
        <w:instrText xml:space="preserve"> TOC \o "1-3" \h \z \u </w:instrText>
      </w:r>
      <w:r>
        <w:fldChar w:fldCharType="separate"/>
      </w:r>
      <w:r>
        <w:rPr>
          <w:rFonts w:ascii="Calibri" w:hAnsi="Calibri" w:cs="Calibri"/>
          <w:i/>
          <w:iCs/>
          <w:color w:val="595959"/>
          <w:sz w:val="21"/>
          <w:szCs w:val="21"/>
          <w:lang w:val="es-PE"/>
        </w:rPr>
        <w:t xml:space="preserve">[Índice automático: si no aparece, haga clic derecho aquí y elija «Actualizar campo» (F9).]</w:t>
      </w:r>
      <w:r>
        <w:fldChar w:fldCharType="end"/>
      </w:r>
    </w:p>
    <w:p>
      <w:r>
        <w:br w:type="page"/>
      </w:r>
    </w:p>
    <w:p>
      <w:pPr>
        <w:pStyle w:val="Ttulo1"/>
        <w:keepNext/>
        <w:spacing w:before="240" w:after="240" w:line="360" w:lineRule="auto"/>
        <w:jc w:val="center"/>
      </w:pPr>
      <w:r>
        <w:rPr>
          <w:rFonts w:ascii="Calibri" w:hAnsi="Calibri" w:cs="Calibri"/>
          <w:b/>
          <w:bCs/>
          <w:color w:val="000000"/>
          <w:sz w:val="28"/>
          <w:szCs w:val="28"/>
          <w:lang w:val="es-PE"/>
        </w:rPr>
        <w:t xml:space="preserve">PRESENTACIÓN</w:t>
      </w:r>
    </w:p>
    <w:p>
      <w:pPr>
        <w:spacing w:before="0" w:after="120" w:line="360" w:lineRule="auto"/>
        <w:ind w:firstLine="708"/>
        <w:jc w:val="both"/>
      </w:pPr>
      <w:r>
        <w:rPr>
          <w:rFonts w:ascii="Calibri" w:hAnsi="Calibri" w:cs="Calibri"/>
          <w:color w:val="000000"/>
          <w:sz w:val="22"/>
          <w:szCs w:val="22"/>
          <w:lang w:val="es-PE"/>
        </w:rPr>
        <w:t xml:space="preserve">Como egresado del Programa de Estudios de Diseño de Interiores del Instituto de Educación Superior Público «Diseño y Comunicación» (IDC), presento el portafolio académico del Examen de Suficiencia Profesional, que documenta el diseño interior y equipamiento de una cafetería de especialidad de 85 m² en el distrito de Barranco, Lima. El proyecto se ejecutó entre marzo y julio de 2025 para Raíz Café S.A.C., en el marco de mi trabajo como diseñador en un estudio de interiorismo comercial.</w:t>
      </w:r>
    </w:p>
    <w:p>
      <w:pPr>
        <w:spacing w:before="0" w:after="120" w:line="360" w:lineRule="auto"/>
        <w:ind w:firstLine="708"/>
        <w:jc w:val="both"/>
      </w:pPr>
      <w:r>
        <w:rPr>
          <w:rFonts w:ascii="Calibri" w:hAnsi="Calibri" w:cs="Calibri"/>
          <w:color w:val="000000"/>
          <w:sz w:val="22"/>
          <w:szCs w:val="22"/>
          <w:lang w:val="es-PE"/>
        </w:rPr>
        <w:t xml:space="preserve">El proyecto pertenece al segmento comercial de alimentos y bebidas, en el que el diseño interior interviene en la distribución de la barra de atención, la capacidad del salón, las condiciones de seguridad exigidas para la licencia de funcionamiento y la imagen del local. En este tipo de encargo, el diseñador coordina el anteproyecto, el presupuesto, la obra y la entrega dentro de plazos definidos por la fecha de apertura.</w:t>
      </w:r>
    </w:p>
    <w:p>
      <w:pPr>
        <w:spacing w:before="0" w:after="120" w:line="360" w:lineRule="auto"/>
        <w:ind w:firstLine="708"/>
        <w:jc w:val="both"/>
      </w:pPr>
      <w:r>
        <w:rPr>
          <w:rFonts w:ascii="Calibri" w:hAnsi="Calibri" w:cs="Calibri"/>
          <w:color w:val="000000"/>
          <w:sz w:val="22"/>
          <w:szCs w:val="22"/>
          <w:lang w:val="es-PE"/>
        </w:rPr>
        <w:t xml:space="preserve">La sistematización de esta experiencia permite reconstruir de forma ordenada las decisiones técnicas, creativas y de gestión tomadas en cada una de las nueve etapas del proceso, desde la atención al cliente hasta el acta de conformidad de obra, y contrastarlas con los fundamentos teóricos del Programa.</w:t>
      </w:r>
    </w:p>
    <w:p>
      <w:pPr>
        <w:spacing w:before="0" w:after="120" w:line="360" w:lineRule="auto"/>
        <w:ind w:firstLine="708"/>
        <w:jc w:val="both"/>
      </w:pPr>
      <w:r>
        <w:rPr>
          <w:rFonts w:ascii="Calibri" w:hAnsi="Calibri" w:cs="Calibri"/>
          <w:color w:val="000000"/>
          <w:sz w:val="22"/>
          <w:szCs w:val="22"/>
          <w:lang w:val="es-PE"/>
        </w:rPr>
        <w:t xml:space="preserve">La finalidad de este examen es demostrar el dominio teórico-práctico de las competencias del Programa de Diseño de Interiores para optar el título de Profesional Técnico en Diseño de Interiores.</w:t>
      </w:r>
    </w:p>
    <w:p>
      <w:pPr>
        <w:spacing w:before="0" w:after="120" w:line="360" w:lineRule="auto"/>
        <w:ind w:firstLine="708"/>
        <w:jc w:val="both"/>
      </w:pPr>
      <w:r>
        <w:rPr>
          <w:rFonts w:ascii="Calibri" w:hAnsi="Calibri" w:cs="Calibri"/>
          <w:color w:val="000000"/>
          <w:sz w:val="22"/>
          <w:szCs w:val="22"/>
          <w:lang w:val="es-PE"/>
        </w:rPr>
        <w:t xml:space="preserve">El documento se organiza en tres capítulos. El Capítulo I presenta los aspectos teóricos del proyecto, la ficha descriptiva, el presupuesto y la documentación de obra. El Capítulo II describe la propuesta en planos 2D y 3D y la demostración práctica que se realizará ante el Jurado Calificador. El Capítulo III reúne los anexos y las fuentes de información. Al final se exponen las conclusiones y recomendaciones.</w:t>
      </w:r>
    </w:p>
    <w:p>
      <w:pPr>
        <w:pStyle w:val="Ttulo2"/>
        <w:keepNext/>
        <w:spacing w:before="240" w:after="120" w:line="360" w:lineRule="auto"/>
        <w:jc w:val="left"/>
      </w:pPr>
      <w:r>
        <w:rPr>
          <w:rFonts w:ascii="Calibri" w:hAnsi="Calibri" w:cs="Calibri"/>
          <w:b/>
          <w:bCs/>
          <w:color w:val="000000"/>
          <w:sz w:val="24"/>
          <w:szCs w:val="24"/>
          <w:lang w:val="es-PE"/>
        </w:rPr>
        <w:t xml:space="preserve">Objetivos del Examen de Suficiencia Profesional</w:t>
      </w:r>
    </w:p>
    <w:p>
      <w:pPr>
        <w:spacing w:before="0" w:after="80" w:line="360" w:lineRule="auto"/>
        <w:jc w:val="both"/>
      </w:pPr>
      <w:r>
        <w:rPr>
          <w:rFonts w:ascii="Calibri" w:hAnsi="Calibri" w:cs="Calibri"/>
          <w:b/>
          <w:bCs/>
          <w:color w:val="000000"/>
          <w:sz w:val="22"/>
          <w:szCs w:val="22"/>
          <w:lang w:val="es-PE"/>
        </w:rPr>
        <w:t xml:space="preserve">Objetivo general: </w:t>
      </w:r>
      <w:r>
        <w:rPr>
          <w:rFonts w:ascii="Calibri" w:hAnsi="Calibri" w:cs="Calibri"/>
          <w:color w:val="000000"/>
          <w:sz w:val="22"/>
          <w:szCs w:val="22"/>
          <w:lang w:val="es-PE"/>
        </w:rPr>
        <w:t xml:space="preserve">Demostrar el dominio teórico-práctico de las competencias profesionales del Diseño de Interiores mediante la exposición y sustentación del proyecto integral de diseño interior y equipamiento de una cafetería de especialidad de 85 m², desarrollado para Raíz Café S.A.C. en Barranco, Lima, en el marco del Examen de Suficiencia Profesional.</w:t>
      </w:r>
    </w:p>
    <w:p>
      <w:pPr>
        <w:keepNext/>
        <w:spacing w:before="120" w:after="60" w:line="360" w:lineRule="auto"/>
        <w:jc w:val="left"/>
      </w:pPr>
      <w:r>
        <w:rPr>
          <w:rFonts w:ascii="Calibri" w:hAnsi="Calibri" w:cs="Calibri"/>
          <w:b/>
          <w:bCs/>
          <w:color w:val="000000"/>
          <w:sz w:val="22"/>
          <w:szCs w:val="22"/>
          <w:lang w:val="es-PE"/>
        </w:rPr>
        <w:t xml:space="preserve">Objetivos específicos:</w:t>
      </w:r>
    </w:p>
    <w:p>
      <w:pPr>
        <w:spacing w:before="0" w:after="120" w:line="360" w:lineRule="auto"/>
        <w:ind w:left="426" w:hanging="426"/>
        <w:jc w:val="both"/>
      </w:pPr>
      <w:r>
        <w:rPr>
          <w:rFonts w:ascii="Calibri" w:hAnsi="Calibri" w:cs="Calibri"/>
          <w:b/>
          <w:bCs/>
          <w:color w:val="000000"/>
          <w:sz w:val="22"/>
          <w:szCs w:val="22"/>
          <w:lang w:val="es-PE"/>
        </w:rPr>
        <w:t xml:space="preserve">1. </w:t>
      </w:r>
      <w:r>
        <w:rPr>
          <w:rFonts w:ascii="Calibri" w:hAnsi="Calibri" w:cs="Calibri"/>
          <w:color w:val="000000"/>
          <w:sz w:val="22"/>
          <w:szCs w:val="22"/>
          <w:lang w:val="es-PE"/>
        </w:rPr>
        <w:t xml:space="preserve">Fundamentar teóricamente el proyecto mediante bases teóricas, antecedentes y marco conceptual actualizados.</w:t>
      </w:r>
    </w:p>
    <w:p>
      <w:pPr>
        <w:spacing w:before="0" w:after="120" w:line="360" w:lineRule="auto"/>
        <w:ind w:left="426" w:hanging="426"/>
        <w:jc w:val="both"/>
      </w:pPr>
      <w:r>
        <w:rPr>
          <w:rFonts w:ascii="Calibri" w:hAnsi="Calibri" w:cs="Calibri"/>
          <w:b/>
          <w:bCs/>
          <w:color w:val="000000"/>
          <w:sz w:val="22"/>
          <w:szCs w:val="22"/>
          <w:lang w:val="es-PE"/>
        </w:rPr>
        <w:t xml:space="preserve">2. </w:t>
      </w:r>
      <w:r>
        <w:rPr>
          <w:rFonts w:ascii="Calibri" w:hAnsi="Calibri" w:cs="Calibri"/>
          <w:color w:val="000000"/>
          <w:sz w:val="22"/>
          <w:szCs w:val="22"/>
          <w:lang w:val="es-PE"/>
        </w:rPr>
        <w:t xml:space="preserve">Describir el proceso de diseño y equipamiento del local, desde la atención al cliente hasta la entrega de la obra concluida.</w:t>
      </w:r>
    </w:p>
    <w:p>
      <w:pPr>
        <w:spacing w:before="0" w:after="120" w:line="360" w:lineRule="auto"/>
        <w:ind w:left="426" w:hanging="426"/>
        <w:jc w:val="both"/>
      </w:pPr>
      <w:r>
        <w:rPr>
          <w:rFonts w:ascii="Calibri" w:hAnsi="Calibri" w:cs="Calibri"/>
          <w:b/>
          <w:bCs/>
          <w:color w:val="000000"/>
          <w:sz w:val="22"/>
          <w:szCs w:val="22"/>
          <w:lang w:val="es-PE"/>
        </w:rPr>
        <w:t xml:space="preserve">3. </w:t>
      </w:r>
      <w:r>
        <w:rPr>
          <w:rFonts w:ascii="Calibri" w:hAnsi="Calibri" w:cs="Calibri"/>
          <w:color w:val="000000"/>
          <w:sz w:val="22"/>
          <w:szCs w:val="22"/>
          <w:lang w:val="es-PE"/>
        </w:rPr>
        <w:t xml:space="preserve">Demostrar prácticamente la propuesta de diseño mediante planos 2D y 3D y una maqueta a escala 1:25 de la barra de atención.</w:t>
      </w:r>
    </w:p>
    <w:p>
      <w:pPr>
        <w:spacing w:before="0" w:after="120" w:line="360" w:lineRule="auto"/>
        <w:ind w:left="426" w:hanging="426"/>
        <w:jc w:val="both"/>
      </w:pPr>
      <w:r>
        <w:rPr>
          <w:rFonts w:ascii="Calibri" w:hAnsi="Calibri" w:cs="Calibri"/>
          <w:b/>
          <w:bCs/>
          <w:color w:val="000000"/>
          <w:sz w:val="22"/>
          <w:szCs w:val="22"/>
          <w:lang w:val="es-PE"/>
        </w:rPr>
        <w:t xml:space="preserve">4. </w:t>
      </w:r>
      <w:r>
        <w:rPr>
          <w:rFonts w:ascii="Calibri" w:hAnsi="Calibri" w:cs="Calibri"/>
          <w:color w:val="000000"/>
          <w:sz w:val="22"/>
          <w:szCs w:val="22"/>
          <w:lang w:val="es-PE"/>
        </w:rPr>
        <w:t xml:space="preserve">Evaluar críticamente los resultados del proyecto y proponer mejoras basadas en evidencia.</w:t>
      </w:r>
    </w:p>
    <w:p>
      <w:r>
        <w:br w:type="page"/>
      </w:r>
    </w:p>
    <w:p>
      <w:pPr>
        <w:pStyle w:val="Ttulo1"/>
        <w:keepNext/>
        <w:spacing w:before="240" w:after="240" w:line="360" w:lineRule="auto"/>
        <w:jc w:val="center"/>
      </w:pPr>
      <w:r>
        <w:rPr>
          <w:rFonts w:ascii="Calibri" w:hAnsi="Calibri" w:cs="Calibri"/>
          <w:b/>
          <w:bCs/>
          <w:color w:val="000000"/>
          <w:sz w:val="28"/>
          <w:szCs w:val="28"/>
          <w:lang w:val="es-PE"/>
        </w:rPr>
        <w:t xml:space="preserve">CAPÍTULO I: ASPECTOS TEÓRICOS DEL TEMA O PROYECTO</w:t>
      </w:r>
    </w:p>
    <w:p>
      <w:pPr>
        <w:pStyle w:val="Ttulo2"/>
        <w:keepNext/>
        <w:spacing w:before="240" w:after="120" w:line="360" w:lineRule="auto"/>
        <w:jc w:val="left"/>
      </w:pPr>
      <w:r>
        <w:rPr>
          <w:rFonts w:ascii="Calibri" w:hAnsi="Calibri" w:cs="Calibri"/>
          <w:b/>
          <w:bCs/>
          <w:color w:val="000000"/>
          <w:sz w:val="24"/>
          <w:szCs w:val="24"/>
          <w:lang w:val="es-PE"/>
        </w:rPr>
        <w:t xml:space="preserve">Fundamentación teórica</w:t>
      </w:r>
    </w:p>
    <w:p>
      <w:pPr>
        <w:spacing w:before="0" w:after="120" w:line="360" w:lineRule="auto"/>
        <w:ind w:firstLine="708"/>
        <w:jc w:val="both"/>
      </w:pPr>
      <w:r>
        <w:rPr>
          <w:rFonts w:ascii="Calibri" w:hAnsi="Calibri" w:cs="Calibri"/>
          <w:color w:val="000000"/>
          <w:sz w:val="22"/>
          <w:szCs w:val="22"/>
          <w:lang w:val="es-PE"/>
        </w:rPr>
        <w:t xml:space="preserve">El portafolio se fundamenta en la sistematización de experiencias, modalidad de investigación cualitativa que interpreta críticamente una práctica a partir de su reconstrucción ordenada, con el fin de producir aprendizajes que la trasciendan (Jara, 2018).</w:t>
      </w:r>
    </w:p>
    <w:p>
      <w:pPr>
        <w:spacing w:before="0" w:after="120" w:line="360" w:lineRule="auto"/>
        <w:ind w:firstLine="708"/>
        <w:jc w:val="both"/>
      </w:pPr>
      <w:r>
        <w:rPr>
          <w:rFonts w:ascii="Calibri" w:hAnsi="Calibri" w:cs="Calibri"/>
          <w:color w:val="000000"/>
          <w:sz w:val="22"/>
          <w:szCs w:val="22"/>
          <w:lang w:val="es-PE"/>
        </w:rPr>
        <w:t xml:space="preserve">Las decisiones de diseño se reconstruyen con la secuencia del método científico adaptado al diseño de espacios: observación, planteamiento del problema, supuestos de diseño, prototipado, análisis de resultados y conclusiones (Hernández-Sampieri y Mendoza, 2018). En el proyecto, el supuesto de diseño fue que una barra frontal con zona de espera reduciría los cruces de circulación entre clientes y personal.</w:t>
      </w:r>
    </w:p>
    <w:p>
      <w:pPr>
        <w:spacing w:before="0" w:after="120" w:line="360" w:lineRule="auto"/>
        <w:ind w:firstLine="708"/>
        <w:jc w:val="both"/>
      </w:pPr>
      <w:r>
        <w:rPr>
          <w:rFonts w:ascii="Calibri" w:hAnsi="Calibri" w:cs="Calibri"/>
          <w:color w:val="000000"/>
          <w:sz w:val="22"/>
          <w:szCs w:val="22"/>
          <w:lang w:val="es-PE"/>
        </w:rPr>
        <w:t xml:space="preserve">Para valorar los aportes del proyecto se emplean los criterios del Manual de Oslo, que distingue innovaciones de producto y de proceso (OCDE y Eurostat, 2018); en este caso, la estandarización de un despiece de mobiliario para fabricación local constituye una mejora de proceso.</w:t>
      </w:r>
    </w:p>
    <w:p>
      <w:pPr>
        <w:spacing w:before="0" w:after="120" w:line="360" w:lineRule="auto"/>
        <w:ind w:firstLine="708"/>
        <w:jc w:val="both"/>
      </w:pPr>
      <w:r>
        <w:rPr>
          <w:rFonts w:ascii="Calibri" w:hAnsi="Calibri" w:cs="Calibri"/>
          <w:color w:val="000000"/>
          <w:sz w:val="22"/>
          <w:szCs w:val="22"/>
          <w:lang w:val="es-PE"/>
        </w:rPr>
        <w:t xml:space="preserve">[Amplíe con bases teóricas de diseño interior comercial, ergonomía y normativa aplicable, citadas en APA 7.ª con fuentes 2021–2026.]</w:t>
      </w:r>
    </w:p>
    <w:p>
      <w:pPr>
        <w:pStyle w:val="Ttulo2"/>
        <w:keepNext/>
        <w:spacing w:before="240" w:after="120" w:line="360" w:lineRule="auto"/>
        <w:jc w:val="left"/>
      </w:pPr>
      <w:r>
        <w:rPr>
          <w:rFonts w:ascii="Calibri" w:hAnsi="Calibri" w:cs="Calibri"/>
          <w:b/>
          <w:bCs/>
          <w:color w:val="000000"/>
          <w:sz w:val="24"/>
          <w:szCs w:val="24"/>
          <w:lang w:val="es-PE"/>
        </w:rPr>
        <w:t xml:space="preserve">1.1 Ficha descriptiva del proyecto o memoria descriptiva</w:t>
      </w:r>
    </w:p>
    <w:p>
      <w:pPr>
        <w:pStyle w:val="Ttulo3"/>
        <w:keepNext/>
        <w:spacing w:before="180" w:after="60" w:line="360" w:lineRule="auto"/>
        <w:jc w:val="left"/>
      </w:pPr>
      <w:r>
        <w:rPr>
          <w:rFonts w:ascii="Calibri" w:hAnsi="Calibri" w:cs="Calibri"/>
          <w:b/>
          <w:bCs/>
          <w:color w:val="000000"/>
          <w:sz w:val="22"/>
          <w:szCs w:val="22"/>
          <w:lang w:val="es-PE"/>
        </w:rPr>
        <w:t xml:space="preserve">A. Datos generales</w:t>
      </w:r>
    </w:p>
    <w:tbl>
      <w:tblPr>
        <w:tblW w:w="878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700"/>
        <w:gridCol w:w="3000"/>
        <w:gridCol w:w="5088"/>
      </w:tblGrid>
      <w:tr>
        <w:trPr>
          <w:tblHeader/>
        </w:trPr>
        <w:tc>
          <w:tcPr>
            <w:tcW w:w="7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N.º</w:t>
            </w:r>
          </w:p>
        </w:tc>
        <w:tc>
          <w:tcPr>
            <w:tcW w:w="30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Campo</w:t>
            </w:r>
          </w:p>
        </w:tc>
        <w:tc>
          <w:tcPr>
            <w:tcW w:w="5088"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Descripción</w:t>
            </w:r>
          </w:p>
        </w:tc>
      </w:tr>
      <w:tr>
        <w:trPr>
          <w:cantSplit/>
        </w:trPr>
        <w:tc>
          <w:tcPr>
            <w:tcW w:w="7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1</w:t>
            </w:r>
          </w:p>
        </w:tc>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Proyecto</w:t>
            </w:r>
          </w:p>
        </w:tc>
        <w:tc>
          <w:tcPr>
            <w:tcW w:w="50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Café Raíz — cafetería de especialidad</w:t>
            </w:r>
          </w:p>
        </w:tc>
      </w:tr>
      <w:tr>
        <w:trPr>
          <w:cantSplit/>
        </w:trPr>
        <w:tc>
          <w:tcPr>
            <w:tcW w:w="7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2</w:t>
            </w:r>
          </w:p>
        </w:tc>
        <w:tc>
          <w:tcPr>
            <w:tcW w:w="30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Tipo de proyecto</w:t>
            </w:r>
          </w:p>
        </w:tc>
        <w:tc>
          <w:tcPr>
            <w:tcW w:w="50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Comercial</w:t>
            </w:r>
          </w:p>
        </w:tc>
      </w:tr>
      <w:tr>
        <w:trPr>
          <w:cantSplit/>
        </w:trPr>
        <w:tc>
          <w:tcPr>
            <w:tcW w:w="7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3</w:t>
            </w:r>
          </w:p>
        </w:tc>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Razón social</w:t>
            </w:r>
          </w:p>
        </w:tc>
        <w:tc>
          <w:tcPr>
            <w:tcW w:w="50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Raíz Café S.A.C.</w:t>
            </w:r>
          </w:p>
        </w:tc>
      </w:tr>
      <w:tr>
        <w:trPr>
          <w:cantSplit/>
        </w:trPr>
        <w:tc>
          <w:tcPr>
            <w:tcW w:w="7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4</w:t>
            </w:r>
          </w:p>
        </w:tc>
        <w:tc>
          <w:tcPr>
            <w:tcW w:w="30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Categoría del servicio</w:t>
            </w:r>
          </w:p>
        </w:tc>
        <w:tc>
          <w:tcPr>
            <w:tcW w:w="50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Diseño integral</w:t>
            </w:r>
          </w:p>
        </w:tc>
      </w:tr>
      <w:tr>
        <w:trPr>
          <w:cantSplit/>
        </w:trPr>
        <w:tc>
          <w:tcPr>
            <w:tcW w:w="7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5</w:t>
            </w:r>
          </w:p>
        </w:tc>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Tema o elemento de inspiración del proyecto</w:t>
            </w:r>
          </w:p>
        </w:tc>
        <w:tc>
          <w:tcPr>
            <w:tcW w:w="50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Andenes andinos: terrazas de cultivo y muros de tierra</w:t>
            </w:r>
          </w:p>
        </w:tc>
      </w:tr>
      <w:tr>
        <w:trPr>
          <w:cantSplit/>
        </w:trPr>
        <w:tc>
          <w:tcPr>
            <w:tcW w:w="7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6</w:t>
            </w:r>
          </w:p>
        </w:tc>
        <w:tc>
          <w:tcPr>
            <w:tcW w:w="30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Área del local</w:t>
            </w:r>
          </w:p>
        </w:tc>
        <w:tc>
          <w:tcPr>
            <w:tcW w:w="50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85 m²</w:t>
            </w:r>
          </w:p>
        </w:tc>
      </w:tr>
      <w:tr>
        <w:trPr>
          <w:cantSplit/>
        </w:trPr>
        <w:tc>
          <w:tcPr>
            <w:tcW w:w="7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7</w:t>
            </w:r>
          </w:p>
        </w:tc>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Aforo o población</w:t>
            </w:r>
          </w:p>
        </w:tc>
        <w:tc>
          <w:tcPr>
            <w:tcW w:w="50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32 comensales y 4 trabajadores</w:t>
            </w:r>
          </w:p>
        </w:tc>
      </w:tr>
      <w:tr>
        <w:trPr>
          <w:cantSplit/>
        </w:trPr>
        <w:tc>
          <w:tcPr>
            <w:tcW w:w="7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8</w:t>
            </w:r>
          </w:p>
        </w:tc>
        <w:tc>
          <w:tcPr>
            <w:tcW w:w="30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Ubicación</w:t>
            </w:r>
          </w:p>
        </w:tc>
        <w:tc>
          <w:tcPr>
            <w:tcW w:w="50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Barranco, Lima (dirección referencial)</w:t>
            </w:r>
          </w:p>
        </w:tc>
      </w:tr>
      <w:tr>
        <w:trPr>
          <w:cantSplit/>
        </w:trPr>
        <w:tc>
          <w:tcPr>
            <w:tcW w:w="7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9</w:t>
            </w:r>
          </w:p>
        </w:tc>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Propietario</w:t>
            </w:r>
          </w:p>
        </w:tc>
        <w:tc>
          <w:tcPr>
            <w:tcW w:w="50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Gutiérrez Ramos, Lucía (gerente general)</w:t>
            </w:r>
          </w:p>
        </w:tc>
      </w:tr>
      <w:tr>
        <w:trPr>
          <w:cantSplit/>
        </w:trPr>
        <w:tc>
          <w:tcPr>
            <w:tcW w:w="7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10</w:t>
            </w:r>
          </w:p>
        </w:tc>
        <w:tc>
          <w:tcPr>
            <w:tcW w:w="30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Diseñador(a)</w:t>
            </w:r>
          </w:p>
        </w:tc>
        <w:tc>
          <w:tcPr>
            <w:tcW w:w="50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VALENZUELA QUISPE, Alex David</w:t>
            </w:r>
          </w:p>
        </w:tc>
      </w:tr>
    </w:tbl>
    <w:p>
      <w:pPr>
        <w:spacing w:after="120"/>
      </w:pPr>
    </w:p>
    <w:p>
      <w:pPr>
        <w:pStyle w:val="Ttulo3"/>
        <w:keepNext/>
        <w:spacing w:before="180" w:after="60" w:line="360" w:lineRule="auto"/>
        <w:jc w:val="left"/>
      </w:pPr>
      <w:r>
        <w:rPr>
          <w:rFonts w:ascii="Calibri" w:hAnsi="Calibri" w:cs="Calibri"/>
          <w:b/>
          <w:bCs/>
          <w:color w:val="000000"/>
          <w:sz w:val="22"/>
          <w:szCs w:val="22"/>
          <w:lang w:val="es-PE"/>
        </w:rPr>
        <w:t xml:space="preserve">B. Necesidades o requerimientos del usuario</w:t>
      </w:r>
    </w:p>
    <w:p>
      <w:pPr>
        <w:spacing w:before="0" w:after="120" w:line="360" w:lineRule="auto"/>
        <w:ind w:firstLine="708"/>
        <w:jc w:val="both"/>
      </w:pPr>
      <w:r>
        <w:rPr>
          <w:rFonts w:ascii="Calibri" w:hAnsi="Calibri" w:cs="Calibri"/>
          <w:color w:val="000000"/>
          <w:sz w:val="22"/>
          <w:szCs w:val="22"/>
          <w:lang w:val="es-PE"/>
        </w:rPr>
        <w:t xml:space="preserve">Clientes de 20 a 45 años, residentes y trabajadores del distrito; permanencia promedio de 45 minutos. Requieren mesas para trabajo con tomacorrientes, una barra de espera para pedidos para llevar y un servicio higiénico accesible.</w:t>
      </w:r>
    </w:p>
    <w:p>
      <w:pPr>
        <w:pStyle w:val="Ttulo3"/>
        <w:keepNext/>
        <w:spacing w:before="180" w:after="60" w:line="360" w:lineRule="auto"/>
        <w:jc w:val="left"/>
      </w:pPr>
      <w:r>
        <w:rPr>
          <w:rFonts w:ascii="Calibri" w:hAnsi="Calibri" w:cs="Calibri"/>
          <w:b/>
          <w:bCs/>
          <w:color w:val="000000"/>
          <w:sz w:val="22"/>
          <w:szCs w:val="22"/>
          <w:lang w:val="es-PE"/>
        </w:rPr>
        <w:t xml:space="preserve">C. Necesidades o requerimientos del propietario</w:t>
      </w:r>
    </w:p>
    <w:p>
      <w:pPr>
        <w:spacing w:before="0" w:after="120" w:line="360" w:lineRule="auto"/>
        <w:ind w:firstLine="708"/>
        <w:jc w:val="both"/>
      </w:pPr>
      <w:r>
        <w:rPr>
          <w:rFonts w:ascii="Calibri" w:hAnsi="Calibri" w:cs="Calibri"/>
          <w:color w:val="000000"/>
          <w:sz w:val="22"/>
          <w:szCs w:val="22"/>
          <w:lang w:val="es-PE"/>
        </w:rPr>
        <w:t xml:space="preserve">Aforo de 32 comensales, imagen asociada al café peruano de origen, presupuesto máximo de S/ 115,000 incluido IGV y apertura en 14 semanas, con certificado de inspección técnica de seguridad en edificaciones.</w:t>
      </w:r>
    </w:p>
    <w:p>
      <w:pPr>
        <w:pStyle w:val="Ttulo3"/>
        <w:keepNext/>
        <w:spacing w:before="180" w:after="60" w:line="360" w:lineRule="auto"/>
        <w:jc w:val="left"/>
      </w:pPr>
      <w:r>
        <w:rPr>
          <w:rFonts w:ascii="Calibri" w:hAnsi="Calibri" w:cs="Calibri"/>
          <w:b/>
          <w:bCs/>
          <w:color w:val="000000"/>
          <w:sz w:val="22"/>
          <w:szCs w:val="22"/>
          <w:lang w:val="es-PE"/>
        </w:rPr>
        <w:t xml:space="preserve">D. Objetivos del proyecto</w:t>
      </w:r>
    </w:p>
    <w:p>
      <w:pPr>
        <w:spacing w:before="0" w:after="120" w:line="360" w:lineRule="auto"/>
        <w:ind w:firstLine="708"/>
        <w:jc w:val="both"/>
      </w:pPr>
      <w:r>
        <w:rPr>
          <w:rFonts w:ascii="Calibri" w:hAnsi="Calibri" w:cs="Calibri"/>
          <w:color w:val="000000"/>
          <w:sz w:val="22"/>
          <w:szCs w:val="22"/>
          <w:lang w:val="es-PE"/>
        </w:rPr>
        <w:t xml:space="preserve">Intervenir 85 m²; ejecutar el proyecto con un presupuesto de S/ 112,996.80 incluido IGV; entregar en 14 semanas (4 de diseño y 10 de obra); obtener una calificación mínima de 4/5 en la encuesta de satisfacción del propietario.</w:t>
      </w:r>
    </w:p>
    <w:p>
      <w:pPr>
        <w:pStyle w:val="Ttulo3"/>
        <w:keepNext/>
        <w:spacing w:before="180" w:after="60" w:line="360" w:lineRule="auto"/>
        <w:jc w:val="left"/>
      </w:pPr>
      <w:r>
        <w:rPr>
          <w:rFonts w:ascii="Calibri" w:hAnsi="Calibri" w:cs="Calibri"/>
          <w:b/>
          <w:bCs/>
          <w:color w:val="000000"/>
          <w:sz w:val="22"/>
          <w:szCs w:val="22"/>
          <w:lang w:val="es-PE"/>
        </w:rPr>
        <w:t xml:space="preserve">E. Descripción del proyecto</w:t>
      </w:r>
    </w:p>
    <w:p>
      <w:pPr>
        <w:spacing w:before="0" w:after="120" w:line="360" w:lineRule="auto"/>
        <w:ind w:firstLine="708"/>
        <w:jc w:val="both"/>
      </w:pPr>
      <w:r>
        <w:rPr>
          <w:rFonts w:ascii="Calibri" w:hAnsi="Calibri" w:cs="Calibri"/>
          <w:color w:val="000000"/>
          <w:sz w:val="22"/>
          <w:szCs w:val="22"/>
          <w:lang w:val="es-PE"/>
        </w:rPr>
        <w:t xml:space="preserve">El local, antes una ferretería, presentaba muros con humedad y una instalación eléctrica sin tablero diferenciado. Bajo el concepto «Andenes», se organizó en cuatro zonas: barra de atención frontal, salón con mesas, banca corrida escalonada y servicio higiénico accesible. Se reubicó la cocina al fondo del local para liberar la fachada, se renovó la instalación eléctrica y se diseñó mobiliario fijo fabricado por un taller local. La obra se ejecutó en 11 semanas y se entregó el 18 de julio de 2025.</w:t>
      </w:r>
    </w:p>
    <w:p>
      <w:pPr>
        <w:pStyle w:val="Ttulo3"/>
        <w:keepNext/>
        <w:spacing w:before="180" w:after="60" w:line="360" w:lineRule="auto"/>
        <w:jc w:val="left"/>
      </w:pPr>
      <w:r>
        <w:rPr>
          <w:rFonts w:ascii="Calibri" w:hAnsi="Calibri" w:cs="Calibri"/>
          <w:b/>
          <w:bCs/>
          <w:color w:val="000000"/>
          <w:sz w:val="22"/>
          <w:szCs w:val="22"/>
          <w:lang w:val="es-PE"/>
        </w:rPr>
        <w:t xml:space="preserve">F. Estilo o tendencia del diseño elegido</w:t>
      </w:r>
    </w:p>
    <w:p>
      <w:pPr>
        <w:spacing w:before="0" w:after="120" w:line="360" w:lineRule="auto"/>
        <w:ind w:firstLine="708"/>
        <w:jc w:val="both"/>
      </w:pPr>
      <w:r>
        <w:rPr>
          <w:rFonts w:ascii="Calibri" w:hAnsi="Calibri" w:cs="Calibri"/>
          <w:color w:val="000000"/>
          <w:sz w:val="22"/>
          <w:szCs w:val="22"/>
          <w:lang w:val="es-PE"/>
        </w:rPr>
        <w:t xml:space="preserve">Macro-tendencia: sostenibilidad y uso de materiales locales. Micro-tendencias: tonos tierra, superficies texturadas de acabado mate, madera aparente y mobiliario de líneas simples. [Agregue la fuente de tendencia consultada con cita APA 7.ª.]</w:t>
      </w:r>
    </w:p>
    <w:p>
      <w:pPr>
        <w:pStyle w:val="Ttulo3"/>
        <w:keepNext/>
        <w:spacing w:before="180" w:after="60" w:line="360" w:lineRule="auto"/>
        <w:jc w:val="left"/>
      </w:pPr>
      <w:r>
        <w:rPr>
          <w:rFonts w:ascii="Calibri" w:hAnsi="Calibri" w:cs="Calibri"/>
          <w:b/>
          <w:bCs/>
          <w:color w:val="000000"/>
          <w:sz w:val="22"/>
          <w:szCs w:val="22"/>
          <w:lang w:val="es-PE"/>
        </w:rPr>
        <w:t xml:space="preserve">G. Esquema de color y materiales, por zonas o ambientes</w:t>
      </w:r>
    </w:p>
    <w:p>
      <w:pPr>
        <w:spacing w:before="0" w:after="120" w:line="360" w:lineRule="auto"/>
        <w:ind w:firstLine="708"/>
        <w:jc w:val="both"/>
      </w:pPr>
      <w:r>
        <w:rPr>
          <w:rFonts w:ascii="Calibri" w:hAnsi="Calibri" w:cs="Calibri"/>
          <w:color w:val="000000"/>
          <w:sz w:val="22"/>
          <w:szCs w:val="22"/>
          <w:lang w:val="es-PE"/>
        </w:rPr>
        <w:t xml:space="preserve">Barra — piso: porcelanato 60 × 60 cm color arcilla (proveedor local); frente: listones de tornillo con barniz al agua; muro posterior: microcemento terracota.</w:t>
      </w:r>
    </w:p>
    <w:p>
      <w:pPr>
        <w:spacing w:before="0" w:after="120" w:line="360" w:lineRule="auto"/>
        <w:ind w:firstLine="708"/>
        <w:jc w:val="both"/>
      </w:pPr>
      <w:r>
        <w:rPr>
          <w:rFonts w:ascii="Calibri" w:hAnsi="Calibri" w:cs="Calibri"/>
          <w:color w:val="000000"/>
          <w:sz w:val="22"/>
          <w:szCs w:val="22"/>
          <w:lang w:val="es-PE"/>
        </w:rPr>
        <w:t xml:space="preserve">Salón — piso: el mismo porcelanato; muros: pintura látex lavable color arena; cielo raso: drywall con baldosa acústica.</w:t>
      </w:r>
    </w:p>
    <w:p>
      <w:pPr>
        <w:spacing w:before="0" w:after="120" w:line="360" w:lineRule="auto"/>
        <w:ind w:firstLine="708"/>
        <w:jc w:val="both"/>
      </w:pPr>
      <w:r>
        <w:rPr>
          <w:rFonts w:ascii="Calibri" w:hAnsi="Calibri" w:cs="Calibri"/>
          <w:color w:val="000000"/>
          <w:sz w:val="22"/>
          <w:szCs w:val="22"/>
          <w:lang w:val="es-PE"/>
        </w:rPr>
        <w:t xml:space="preserve">Servicio higiénico — porcelanato antideslizante y enchape cerámico blanco hasta 1.80 m.</w:t>
      </w:r>
    </w:p>
    <w:p>
      <w:pPr>
        <w:pStyle w:val="Ttulo3"/>
        <w:keepNext/>
        <w:spacing w:before="180" w:after="60" w:line="360" w:lineRule="auto"/>
        <w:jc w:val="left"/>
      </w:pPr>
      <w:r>
        <w:rPr>
          <w:rFonts w:ascii="Calibri" w:hAnsi="Calibri" w:cs="Calibri"/>
          <w:b/>
          <w:bCs/>
          <w:color w:val="000000"/>
          <w:sz w:val="22"/>
          <w:szCs w:val="22"/>
          <w:lang w:val="es-PE"/>
        </w:rPr>
        <w:t xml:space="preserve">H. Sistema de iluminación</w:t>
      </w:r>
    </w:p>
    <w:p>
      <w:pPr>
        <w:spacing w:before="0" w:after="120" w:line="360" w:lineRule="auto"/>
        <w:ind w:firstLine="708"/>
        <w:jc w:val="both"/>
      </w:pPr>
      <w:r>
        <w:rPr>
          <w:rFonts w:ascii="Calibri" w:hAnsi="Calibri" w:cs="Calibri"/>
          <w:color w:val="000000"/>
          <w:sz w:val="22"/>
          <w:szCs w:val="22"/>
          <w:lang w:val="es-PE"/>
        </w:rPr>
        <w:t xml:space="preserve">General: downlights LED 3000 K (aprox. 300 lux en salón). Barra: perfiles lineales LED 4000 K (aprox. 500 lux en superficie de trabajo). Acento: colgantes 2700 K sobre mesas. Control: tres circuitos con dimmer.</w:t>
      </w:r>
    </w:p>
    <w:p>
      <w:pPr>
        <w:pStyle w:val="Ttulo3"/>
        <w:keepNext/>
        <w:spacing w:before="180" w:after="60" w:line="360" w:lineRule="auto"/>
        <w:jc w:val="left"/>
      </w:pPr>
      <w:r>
        <w:rPr>
          <w:rFonts w:ascii="Calibri" w:hAnsi="Calibri" w:cs="Calibri"/>
          <w:b/>
          <w:bCs/>
          <w:color w:val="000000"/>
          <w:sz w:val="22"/>
          <w:szCs w:val="22"/>
          <w:lang w:val="es-PE"/>
        </w:rPr>
        <w:t xml:space="preserve">I. Sistema de seguridad contra robos e incendios</w:t>
      </w:r>
    </w:p>
    <w:p>
      <w:pPr>
        <w:spacing w:before="0" w:after="120" w:line="360" w:lineRule="auto"/>
        <w:ind w:firstLine="708"/>
        <w:jc w:val="both"/>
      </w:pPr>
      <w:r>
        <w:rPr>
          <w:rFonts w:ascii="Calibri" w:hAnsi="Calibri" w:cs="Calibri"/>
          <w:color w:val="000000"/>
          <w:sz w:val="22"/>
          <w:szCs w:val="22"/>
          <w:lang w:val="es-PE"/>
        </w:rPr>
        <w:t xml:space="preserve">2 detectores de humo, 1 extintor PQS de 6 kg y 1 de CO₂ junto a la cocina, 2 luces de emergencia, señalética de evacuación y 3 cámaras IP con grabación en la nube.</w:t>
      </w:r>
    </w:p>
    <w:p>
      <w:pPr>
        <w:pStyle w:val="Ttulo3"/>
        <w:keepNext/>
        <w:spacing w:before="180" w:after="60" w:line="360" w:lineRule="auto"/>
        <w:jc w:val="left"/>
      </w:pPr>
      <w:r>
        <w:rPr>
          <w:rFonts w:ascii="Calibri" w:hAnsi="Calibri" w:cs="Calibri"/>
          <w:b/>
          <w:bCs/>
          <w:color w:val="000000"/>
          <w:sz w:val="22"/>
          <w:szCs w:val="22"/>
          <w:lang w:val="es-PE"/>
        </w:rPr>
        <w:t xml:space="preserve">J. Sistemas inteligentes en espacios interiores</w:t>
      </w:r>
    </w:p>
    <w:p>
      <w:pPr>
        <w:spacing w:before="0" w:after="120" w:line="360" w:lineRule="auto"/>
        <w:ind w:firstLine="708"/>
        <w:jc w:val="both"/>
      </w:pPr>
      <w:r>
        <w:rPr>
          <w:rFonts w:ascii="Calibri" w:hAnsi="Calibri" w:cs="Calibri"/>
          <w:color w:val="000000"/>
          <w:sz w:val="22"/>
          <w:szCs w:val="22"/>
          <w:lang w:val="es-PE"/>
        </w:rPr>
        <w:t xml:space="preserve">Control de iluminación por escenas (día, tarde, cierre) desde una aplicación móvil y audio distribuido en dos zonas.</w:t>
      </w:r>
    </w:p>
    <w:p>
      <w:pPr>
        <w:pStyle w:val="Ttulo3"/>
        <w:keepNext/>
        <w:spacing w:before="180" w:after="60" w:line="360" w:lineRule="auto"/>
        <w:jc w:val="left"/>
      </w:pPr>
      <w:r>
        <w:rPr>
          <w:rFonts w:ascii="Calibri" w:hAnsi="Calibri" w:cs="Calibri"/>
          <w:b/>
          <w:bCs/>
          <w:color w:val="000000"/>
          <w:sz w:val="22"/>
          <w:szCs w:val="22"/>
          <w:lang w:val="es-PE"/>
        </w:rPr>
        <w:t xml:space="preserve">K. Mobiliario por zonas</w:t>
      </w:r>
    </w:p>
    <w:p>
      <w:pPr>
        <w:spacing w:before="0" w:after="120" w:line="360" w:lineRule="auto"/>
        <w:ind w:firstLine="708"/>
        <w:jc w:val="both"/>
      </w:pPr>
      <w:r>
        <w:rPr>
          <w:rFonts w:ascii="Calibri" w:hAnsi="Calibri" w:cs="Calibri"/>
          <w:color w:val="000000"/>
          <w:sz w:val="22"/>
          <w:szCs w:val="22"/>
          <w:lang w:val="es-PE"/>
        </w:rPr>
        <w:t xml:space="preserve">Salón: 8 mesas de 60 × 60 cm con tablero de tornillo y base metálica; 24 sillas de madera. Banca corrida de 4.20 m tapizada en tela de alto tránsito. Barra: 6 bancos altos de 75 cm. Fabricación: taller de carpintería local.</w:t>
      </w:r>
    </w:p>
    <w:p>
      <w:pPr>
        <w:pStyle w:val="Ttulo3"/>
        <w:keepNext/>
        <w:spacing w:before="180" w:after="60" w:line="360" w:lineRule="auto"/>
        <w:jc w:val="left"/>
      </w:pPr>
      <w:r>
        <w:rPr>
          <w:rFonts w:ascii="Calibri" w:hAnsi="Calibri" w:cs="Calibri"/>
          <w:b/>
          <w:bCs/>
          <w:color w:val="000000"/>
          <w:sz w:val="22"/>
          <w:szCs w:val="22"/>
          <w:lang w:val="es-PE"/>
        </w:rPr>
        <w:t xml:space="preserve">L. Equipamiento integral del local (aire acondicionado y otros)</w:t>
      </w:r>
    </w:p>
    <w:p>
      <w:pPr>
        <w:spacing w:before="0" w:after="120" w:line="360" w:lineRule="auto"/>
        <w:ind w:firstLine="708"/>
        <w:jc w:val="both"/>
      </w:pPr>
      <w:r>
        <w:rPr>
          <w:rFonts w:ascii="Calibri" w:hAnsi="Calibri" w:cs="Calibri"/>
          <w:color w:val="000000"/>
          <w:sz w:val="22"/>
          <w:szCs w:val="22"/>
          <w:lang w:val="es-PE"/>
        </w:rPr>
        <w:t xml:space="preserve">Aire acondicionado split de 24,000 BTU; extractor de 12″ en cocina; máquina de espresso de 2 grupos, molinos y refrigeradora bajo barra; inodoro y lavatorio accesibles con barras de apoyo.</w:t>
      </w:r>
    </w:p>
    <w:p>
      <w:pPr>
        <w:pStyle w:val="Ttulo3"/>
        <w:keepNext/>
        <w:spacing w:before="180" w:after="60" w:line="360" w:lineRule="auto"/>
        <w:jc w:val="left"/>
      </w:pPr>
      <w:r>
        <w:rPr>
          <w:rFonts w:ascii="Calibri" w:hAnsi="Calibri" w:cs="Calibri"/>
          <w:b/>
          <w:bCs/>
          <w:color w:val="000000"/>
          <w:sz w:val="22"/>
          <w:szCs w:val="22"/>
          <w:lang w:val="es-PE"/>
        </w:rPr>
        <w:t xml:space="preserve">M. Complementos decorativos</w:t>
      </w:r>
    </w:p>
    <w:p>
      <w:pPr>
        <w:spacing w:before="0" w:after="120" w:line="360" w:lineRule="auto"/>
        <w:ind w:firstLine="708"/>
        <w:jc w:val="both"/>
      </w:pPr>
      <w:r>
        <w:rPr>
          <w:rFonts w:ascii="Calibri" w:hAnsi="Calibri" w:cs="Calibri"/>
          <w:color w:val="000000"/>
          <w:sz w:val="22"/>
          <w:szCs w:val="22"/>
          <w:lang w:val="es-PE"/>
        </w:rPr>
        <w:t xml:space="preserve">Mural de un artista local en el muro de la banca; maceteros con especies de bajo mantenimiento; cerámica utilitaria de producción local en la barra.</w:t>
      </w:r>
    </w:p>
    <w:p>
      <w:pPr>
        <w:pStyle w:val="Ttulo3"/>
        <w:keepNext/>
        <w:spacing w:before="180" w:after="60" w:line="360" w:lineRule="auto"/>
        <w:jc w:val="left"/>
      </w:pPr>
      <w:r>
        <w:rPr>
          <w:rFonts w:ascii="Calibri" w:hAnsi="Calibri" w:cs="Calibri"/>
          <w:b/>
          <w:bCs/>
          <w:color w:val="000000"/>
          <w:sz w:val="22"/>
          <w:szCs w:val="22"/>
          <w:lang w:val="es-PE"/>
        </w:rPr>
        <w:t xml:space="preserve">N. Proceso de diseño y equipamiento del local (9 etapas)</w:t>
      </w:r>
    </w:p>
    <w:tbl>
      <w:tblPr>
        <w:tblW w:w="878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1300"/>
        <w:gridCol w:w="3000"/>
        <w:gridCol w:w="4488"/>
      </w:tblGrid>
      <w:tr>
        <w:trPr>
          <w:tblHeader/>
        </w:trPr>
        <w:tc>
          <w:tcPr>
            <w:tcW w:w="13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Etapa</w:t>
            </w:r>
          </w:p>
        </w:tc>
        <w:tc>
          <w:tcPr>
            <w:tcW w:w="30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Descripción</w:t>
            </w:r>
          </w:p>
        </w:tc>
        <w:tc>
          <w:tcPr>
            <w:tcW w:w="4488"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Desarrollo en el proyecto</w:t>
            </w:r>
          </w:p>
        </w:tc>
      </w:tr>
      <w:tr>
        <w:trPr>
          <w:cantSplit/>
        </w:trPr>
        <w:tc>
          <w:tcPr>
            <w:tcW w:w="13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1.ª ETAPA</w:t>
            </w:r>
          </w:p>
        </w:tc>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Atención al cliente y recepción de necesidades</w:t>
            </w:r>
          </w:p>
        </w:tc>
        <w:tc>
          <w:tcPr>
            <w:tcW w:w="44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Reunión con la gerente general el 3 de marzo de 2025; se registró el programa de necesidades y el presupuesto referencial (anexo 1).</w:t>
            </w:r>
          </w:p>
        </w:tc>
      </w:tr>
      <w:tr>
        <w:trPr>
          <w:cantSplit/>
        </w:trPr>
        <w:tc>
          <w:tcPr>
            <w:tcW w:w="13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2.ª ETAPA</w:t>
            </w:r>
          </w:p>
        </w:tc>
        <w:tc>
          <w:tcPr>
            <w:tcW w:w="30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Remedición del local, toma de apuntes y fotografías</w:t>
            </w:r>
          </w:p>
        </w:tc>
        <w:tc>
          <w:tcPr>
            <w:tcW w:w="44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Remedición del local, registro de 64 fotografías y verificación de instalaciones eléctricas y sanitarias existentes.</w:t>
            </w:r>
          </w:p>
        </w:tc>
      </w:tr>
      <w:tr>
        <w:trPr>
          <w:cantSplit/>
        </w:trPr>
        <w:tc>
          <w:tcPr>
            <w:tcW w:w="13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3.ª ETAPA</w:t>
            </w:r>
          </w:p>
        </w:tc>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Elaboración de anteproyecto en planos o propuesta preliminar</w:t>
            </w:r>
          </w:p>
        </w:tc>
        <w:tc>
          <w:tcPr>
            <w:tcW w:w="44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Dos alternativas de distribución con moodboard y vistas 3D preliminares; se eligió la alternativa con barra frontal.</w:t>
            </w:r>
          </w:p>
        </w:tc>
      </w:tr>
      <w:tr>
        <w:trPr>
          <w:cantSplit/>
        </w:trPr>
        <w:tc>
          <w:tcPr>
            <w:tcW w:w="13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4.ª ETAPA</w:t>
            </w:r>
          </w:p>
        </w:tc>
        <w:tc>
          <w:tcPr>
            <w:tcW w:w="30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Elaboración del proyecto en planos o propuesta final</w:t>
            </w:r>
          </w:p>
        </w:tc>
        <w:tc>
          <w:tcPr>
            <w:tcW w:w="44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Juego de 12 láminas: distribución, decorativo, iluminación, detalles de barra y banca, y 6 renders finales.</w:t>
            </w:r>
          </w:p>
        </w:tc>
      </w:tr>
      <w:tr>
        <w:trPr>
          <w:cantSplit/>
        </w:trPr>
        <w:tc>
          <w:tcPr>
            <w:tcW w:w="13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5.ª ETAPA</w:t>
            </w:r>
          </w:p>
        </w:tc>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Elaboración de presupuesto o cotización del proyecto</w:t>
            </w:r>
          </w:p>
        </w:tc>
        <w:tc>
          <w:tcPr>
            <w:tcW w:w="44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Metrados, tres cotizaciones por partida principal y presupuesto final de S/ 112,996.80 incluido IGV.</w:t>
            </w:r>
          </w:p>
        </w:tc>
      </w:tr>
      <w:tr>
        <w:trPr>
          <w:cantSplit/>
        </w:trPr>
        <w:tc>
          <w:tcPr>
            <w:tcW w:w="13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6.ª ETAPA</w:t>
            </w:r>
          </w:p>
        </w:tc>
        <w:tc>
          <w:tcPr>
            <w:tcW w:w="30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Validación o aprobación del proyecto por el cliente y responsable del proyecto (firma del contrato)</w:t>
            </w:r>
          </w:p>
        </w:tc>
        <w:tc>
          <w:tcPr>
            <w:tcW w:w="44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Presentación al cliente, dos ajustes de acabados y firma del contrato el 3 de abril de 2025.</w:t>
            </w:r>
          </w:p>
        </w:tc>
      </w:tr>
      <w:tr>
        <w:trPr>
          <w:cantSplit/>
        </w:trPr>
        <w:tc>
          <w:tcPr>
            <w:tcW w:w="13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7.ª ETAPA</w:t>
            </w:r>
          </w:p>
        </w:tc>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Ejecución de la obra según proyecto aprobado</w:t>
            </w:r>
          </w:p>
        </w:tc>
        <w:tc>
          <w:tcPr>
            <w:tcW w:w="44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Desmontaje, renovación eléctrica, drywall, acabados de piso y muro, fabricación e instalación de mobiliario.</w:t>
            </w:r>
          </w:p>
        </w:tc>
      </w:tr>
      <w:tr>
        <w:trPr>
          <w:cantSplit/>
        </w:trPr>
        <w:tc>
          <w:tcPr>
            <w:tcW w:w="13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8.ª ETAPA</w:t>
            </w:r>
          </w:p>
        </w:tc>
        <w:tc>
          <w:tcPr>
            <w:tcW w:w="30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Supervisión y control de la obra según cronograma</w:t>
            </w:r>
          </w:p>
        </w:tc>
        <w:tc>
          <w:tcPr>
            <w:tcW w:w="44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10 informes semanales de avance con registro fotográfico y control de calidad de pisos, drywall e instalaciones.</w:t>
            </w:r>
          </w:p>
        </w:tc>
      </w:tr>
      <w:tr>
        <w:trPr>
          <w:cantSplit/>
        </w:trPr>
        <w:tc>
          <w:tcPr>
            <w:tcW w:w="13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9.ª ETAPA</w:t>
            </w:r>
          </w:p>
        </w:tc>
        <w:tc>
          <w:tcPr>
            <w:tcW w:w="30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Entrega de la obra concluida al cliente</w:t>
            </w:r>
          </w:p>
        </w:tc>
        <w:tc>
          <w:tcPr>
            <w:tcW w:w="44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Recorrido final, levantamiento de 6 observaciones y firma del acta de conformidad el 18 de julio de 2025.</w:t>
            </w:r>
          </w:p>
        </w:tc>
      </w:tr>
    </w:tbl>
    <w:p>
      <w:pPr>
        <w:spacing w:after="120"/>
      </w:pPr>
    </w:p>
    <w:p>
      <w:pPr>
        <w:pStyle w:val="Ttulo2"/>
        <w:keepNext/>
        <w:spacing w:before="240" w:after="120" w:line="360" w:lineRule="auto"/>
        <w:jc w:val="left"/>
      </w:pPr>
      <w:r>
        <w:rPr>
          <w:rFonts w:ascii="Calibri" w:hAnsi="Calibri" w:cs="Calibri"/>
          <w:b/>
          <w:bCs/>
          <w:color w:val="000000"/>
          <w:sz w:val="24"/>
          <w:szCs w:val="24"/>
          <w:lang w:val="es-PE"/>
        </w:rPr>
        <w:t xml:space="preserve">1.2 Presupuesto o cotización del proyecto</w:t>
      </w:r>
    </w:p>
    <w:tbl>
      <w:tblPr>
        <w:tblW w:w="878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1700"/>
        <w:gridCol w:w="3188"/>
        <w:gridCol w:w="800"/>
        <w:gridCol w:w="1500"/>
        <w:gridCol w:w="1600"/>
      </w:tblGrid>
      <w:tr>
        <w:trPr>
          <w:tblHeader/>
        </w:trPr>
        <w:tc>
          <w:tcPr>
            <w:tcW w:w="17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Partida</w:t>
            </w:r>
          </w:p>
        </w:tc>
        <w:tc>
          <w:tcPr>
            <w:tcW w:w="3188"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Descripción</w:t>
            </w:r>
          </w:p>
        </w:tc>
        <w:tc>
          <w:tcPr>
            <w:tcW w:w="8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Cant.</w:t>
            </w:r>
          </w:p>
        </w:tc>
        <w:tc>
          <w:tcPr>
            <w:tcW w:w="15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P. unitario</w:t>
            </w:r>
          </w:p>
        </w:tc>
        <w:tc>
          <w:tcPr>
            <w:tcW w:w="16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Subtotal</w:t>
            </w:r>
          </w:p>
        </w:tc>
      </w:tr>
      <w:tr>
        <w:trPr>
          <w:cantSplit/>
        </w:trPr>
        <w:tc>
          <w:tcPr>
            <w:tcW w:w="17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Materiales</w:t>
            </w:r>
          </w:p>
        </w:tc>
        <w:tc>
          <w:tcPr>
            <w:tcW w:w="31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Acabados de piso, muro y cielo raso</w:t>
            </w:r>
          </w:p>
        </w:tc>
        <w:tc>
          <w:tcPr>
            <w:tcW w:w="8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1</w:t>
            </w:r>
          </w:p>
        </w:tc>
        <w:tc>
          <w:tcPr>
            <w:tcW w:w="1500" w:type="dxa"/>
            <w:shd w:val="clear" w:color="auto" w:fill="EBF3FB"/>
            <w:vAlign w:val="center"/>
          </w:tcPr>
          <w:p>
            <w:pPr>
              <w:spacing w:before="0" w:after="0" w:line="276" w:lineRule="auto"/>
              <w:jc w:val="right"/>
            </w:pPr>
            <w:r>
              <w:rPr>
                <w:rFonts w:ascii="Calibri" w:hAnsi="Calibri" w:cs="Calibri"/>
                <w:color w:val="000000"/>
                <w:sz w:val="20"/>
                <w:szCs w:val="20"/>
                <w:lang w:val="es-PE"/>
              </w:rPr>
              <w:t xml:space="preserve">S/ 38,500.00</w:t>
            </w:r>
          </w:p>
        </w:tc>
        <w:tc>
          <w:tcPr>
            <w:tcW w:w="1600" w:type="dxa"/>
            <w:shd w:val="clear" w:color="auto" w:fill="EBF3FB"/>
            <w:vAlign w:val="center"/>
          </w:tcPr>
          <w:p>
            <w:pPr>
              <w:spacing w:before="0" w:after="0" w:line="276" w:lineRule="auto"/>
              <w:jc w:val="right"/>
            </w:pPr>
            <w:r>
              <w:rPr>
                <w:rFonts w:ascii="Calibri" w:hAnsi="Calibri" w:cs="Calibri"/>
                <w:color w:val="000000"/>
                <w:sz w:val="20"/>
                <w:szCs w:val="20"/>
                <w:lang w:val="es-PE"/>
              </w:rPr>
              <w:t xml:space="preserve">S/ 38,500.00</w:t>
            </w:r>
          </w:p>
        </w:tc>
      </w:tr>
      <w:tr>
        <w:trPr>
          <w:cantSplit/>
        </w:trPr>
        <w:tc>
          <w:tcPr>
            <w:tcW w:w="17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Materiales</w:t>
            </w:r>
          </w:p>
        </w:tc>
        <w:tc>
          <w:tcPr>
            <w:tcW w:w="31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Mobiliario fijo y móvil (barra, banca, mesas, sillas)</w:t>
            </w:r>
          </w:p>
        </w:tc>
        <w:tc>
          <w:tcPr>
            <w:tcW w:w="8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1</w:t>
            </w:r>
          </w:p>
        </w:tc>
        <w:tc>
          <w:tcPr>
            <w:tcW w:w="1500" w:type="dxa"/>
            <w:shd w:val="clear" w:color="auto" w:fill="FFFFFF"/>
            <w:vAlign w:val="center"/>
          </w:tcPr>
          <w:p>
            <w:pPr>
              <w:spacing w:before="0" w:after="0" w:line="276" w:lineRule="auto"/>
              <w:jc w:val="right"/>
            </w:pPr>
            <w:r>
              <w:rPr>
                <w:rFonts w:ascii="Calibri" w:hAnsi="Calibri" w:cs="Calibri"/>
                <w:color w:val="000000"/>
                <w:sz w:val="20"/>
                <w:szCs w:val="20"/>
                <w:lang w:val="es-PE"/>
              </w:rPr>
              <w:t xml:space="preserve">S/ 21,000.00</w:t>
            </w:r>
          </w:p>
        </w:tc>
        <w:tc>
          <w:tcPr>
            <w:tcW w:w="1600" w:type="dxa"/>
            <w:shd w:val="clear" w:color="auto" w:fill="FFFFFF"/>
            <w:vAlign w:val="center"/>
          </w:tcPr>
          <w:p>
            <w:pPr>
              <w:spacing w:before="0" w:after="0" w:line="276" w:lineRule="auto"/>
              <w:jc w:val="right"/>
            </w:pPr>
            <w:r>
              <w:rPr>
                <w:rFonts w:ascii="Calibri" w:hAnsi="Calibri" w:cs="Calibri"/>
                <w:color w:val="000000"/>
                <w:sz w:val="20"/>
                <w:szCs w:val="20"/>
                <w:lang w:val="es-PE"/>
              </w:rPr>
              <w:t xml:space="preserve">S/ 21,000.00</w:t>
            </w:r>
          </w:p>
        </w:tc>
      </w:tr>
      <w:tr>
        <w:trPr>
          <w:cantSplit/>
        </w:trPr>
        <w:tc>
          <w:tcPr>
            <w:tcW w:w="17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Mano de obra</w:t>
            </w:r>
          </w:p>
        </w:tc>
        <w:tc>
          <w:tcPr>
            <w:tcW w:w="31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Obra civil, drywall, instalaciones eléctricas y acabados</w:t>
            </w:r>
          </w:p>
        </w:tc>
        <w:tc>
          <w:tcPr>
            <w:tcW w:w="8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1</w:t>
            </w:r>
          </w:p>
        </w:tc>
        <w:tc>
          <w:tcPr>
            <w:tcW w:w="1500" w:type="dxa"/>
            <w:shd w:val="clear" w:color="auto" w:fill="EBF3FB"/>
            <w:vAlign w:val="center"/>
          </w:tcPr>
          <w:p>
            <w:pPr>
              <w:spacing w:before="0" w:after="0" w:line="276" w:lineRule="auto"/>
              <w:jc w:val="right"/>
            </w:pPr>
            <w:r>
              <w:rPr>
                <w:rFonts w:ascii="Calibri" w:hAnsi="Calibri" w:cs="Calibri"/>
                <w:color w:val="000000"/>
                <w:sz w:val="20"/>
                <w:szCs w:val="20"/>
                <w:lang w:val="es-PE"/>
              </w:rPr>
              <w:t xml:space="preserve">S/ 24,000.00</w:t>
            </w:r>
          </w:p>
        </w:tc>
        <w:tc>
          <w:tcPr>
            <w:tcW w:w="1600" w:type="dxa"/>
            <w:shd w:val="clear" w:color="auto" w:fill="EBF3FB"/>
            <w:vAlign w:val="center"/>
          </w:tcPr>
          <w:p>
            <w:pPr>
              <w:spacing w:before="0" w:after="0" w:line="276" w:lineRule="auto"/>
              <w:jc w:val="right"/>
            </w:pPr>
            <w:r>
              <w:rPr>
                <w:rFonts w:ascii="Calibri" w:hAnsi="Calibri" w:cs="Calibri"/>
                <w:color w:val="000000"/>
                <w:sz w:val="20"/>
                <w:szCs w:val="20"/>
                <w:lang w:val="es-PE"/>
              </w:rPr>
              <w:t xml:space="preserve">S/ 24,000.00</w:t>
            </w:r>
          </w:p>
        </w:tc>
      </w:tr>
      <w:tr>
        <w:trPr>
          <w:cantSplit/>
        </w:trPr>
        <w:tc>
          <w:tcPr>
            <w:tcW w:w="17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Herramientas y equipos</w:t>
            </w:r>
          </w:p>
        </w:tc>
        <w:tc>
          <w:tcPr>
            <w:tcW w:w="31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Alquiler de andamios y equipos menores</w:t>
            </w:r>
          </w:p>
        </w:tc>
        <w:tc>
          <w:tcPr>
            <w:tcW w:w="8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1</w:t>
            </w:r>
          </w:p>
        </w:tc>
        <w:tc>
          <w:tcPr>
            <w:tcW w:w="1500" w:type="dxa"/>
            <w:shd w:val="clear" w:color="auto" w:fill="FFFFFF"/>
            <w:vAlign w:val="center"/>
          </w:tcPr>
          <w:p>
            <w:pPr>
              <w:spacing w:before="0" w:after="0" w:line="276" w:lineRule="auto"/>
              <w:jc w:val="right"/>
            </w:pPr>
            <w:r>
              <w:rPr>
                <w:rFonts w:ascii="Calibri" w:hAnsi="Calibri" w:cs="Calibri"/>
                <w:color w:val="000000"/>
                <w:sz w:val="20"/>
                <w:szCs w:val="20"/>
                <w:lang w:val="es-PE"/>
              </w:rPr>
              <w:t xml:space="preserve">S/ 3,200.00</w:t>
            </w:r>
          </w:p>
        </w:tc>
        <w:tc>
          <w:tcPr>
            <w:tcW w:w="1600" w:type="dxa"/>
            <w:shd w:val="clear" w:color="auto" w:fill="FFFFFF"/>
            <w:vAlign w:val="center"/>
          </w:tcPr>
          <w:p>
            <w:pPr>
              <w:spacing w:before="0" w:after="0" w:line="276" w:lineRule="auto"/>
              <w:jc w:val="right"/>
            </w:pPr>
            <w:r>
              <w:rPr>
                <w:rFonts w:ascii="Calibri" w:hAnsi="Calibri" w:cs="Calibri"/>
                <w:color w:val="000000"/>
                <w:sz w:val="20"/>
                <w:szCs w:val="20"/>
                <w:lang w:val="es-PE"/>
              </w:rPr>
              <w:t xml:space="preserve">S/ 3,200.00</w:t>
            </w:r>
          </w:p>
        </w:tc>
      </w:tr>
      <w:tr>
        <w:trPr>
          <w:cantSplit/>
        </w:trPr>
        <w:tc>
          <w:tcPr>
            <w:tcW w:w="17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Gastos generales</w:t>
            </w:r>
          </w:p>
        </w:tc>
        <w:tc>
          <w:tcPr>
            <w:tcW w:w="31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Transporte, limpieza final, trámites</w:t>
            </w:r>
          </w:p>
        </w:tc>
        <w:tc>
          <w:tcPr>
            <w:tcW w:w="8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1</w:t>
            </w:r>
          </w:p>
        </w:tc>
        <w:tc>
          <w:tcPr>
            <w:tcW w:w="1500" w:type="dxa"/>
            <w:shd w:val="clear" w:color="auto" w:fill="EBF3FB"/>
            <w:vAlign w:val="center"/>
          </w:tcPr>
          <w:p>
            <w:pPr>
              <w:spacing w:before="0" w:after="0" w:line="276" w:lineRule="auto"/>
              <w:jc w:val="right"/>
            </w:pPr>
            <w:r>
              <w:rPr>
                <w:rFonts w:ascii="Calibri" w:hAnsi="Calibri" w:cs="Calibri"/>
                <w:color w:val="000000"/>
                <w:sz w:val="20"/>
                <w:szCs w:val="20"/>
                <w:lang w:val="es-PE"/>
              </w:rPr>
              <w:t xml:space="preserve">S/ 4,500.00</w:t>
            </w:r>
          </w:p>
        </w:tc>
        <w:tc>
          <w:tcPr>
            <w:tcW w:w="1600" w:type="dxa"/>
            <w:shd w:val="clear" w:color="auto" w:fill="EBF3FB"/>
            <w:vAlign w:val="center"/>
          </w:tcPr>
          <w:p>
            <w:pPr>
              <w:spacing w:before="0" w:after="0" w:line="276" w:lineRule="auto"/>
              <w:jc w:val="right"/>
            </w:pPr>
            <w:r>
              <w:rPr>
                <w:rFonts w:ascii="Calibri" w:hAnsi="Calibri" w:cs="Calibri"/>
                <w:color w:val="000000"/>
                <w:sz w:val="20"/>
                <w:szCs w:val="20"/>
                <w:lang w:val="es-PE"/>
              </w:rPr>
              <w:t xml:space="preserve">S/ 4,500.00</w:t>
            </w:r>
          </w:p>
        </w:tc>
      </w:tr>
      <w:tr>
        <w:trPr>
          <w:cantSplit/>
        </w:trPr>
        <w:tc>
          <w:tcPr>
            <w:tcW w:w="17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Imprevistos</w:t>
            </w:r>
          </w:p>
        </w:tc>
        <w:tc>
          <w:tcPr>
            <w:tcW w:w="31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5 % del costo directo</w:t>
            </w:r>
          </w:p>
        </w:tc>
        <w:tc>
          <w:tcPr>
            <w:tcW w:w="800" w:type="dxa"/>
            <w:shd w:val="clear" w:color="auto" w:fill="FFFFFF"/>
            <w:vAlign w:val="center"/>
          </w:tcPr>
          <w:p>
            <w:pPr>
              <w:spacing w:before="0" w:after="0" w:line="276" w:lineRule="auto"/>
              <w:jc w:val="center"/>
            </w:pPr>
            <w:r>
              <w:rPr>
                <w:rFonts w:ascii="Calibri" w:hAnsi="Calibri" w:cs="Calibri"/>
                <w:color w:val="000000"/>
                <w:sz w:val="20"/>
                <w:szCs w:val="20"/>
                <w:lang w:val="es-PE"/>
              </w:rPr>
              <w:t xml:space="preserve">1</w:t>
            </w:r>
          </w:p>
        </w:tc>
        <w:tc>
          <w:tcPr>
            <w:tcW w:w="1500" w:type="dxa"/>
            <w:shd w:val="clear" w:color="auto" w:fill="FFFFFF"/>
            <w:vAlign w:val="center"/>
          </w:tcPr>
          <w:p>
            <w:pPr>
              <w:spacing w:before="0" w:after="0" w:line="276" w:lineRule="auto"/>
              <w:jc w:val="right"/>
            </w:pPr>
            <w:r>
              <w:rPr>
                <w:rFonts w:ascii="Calibri" w:hAnsi="Calibri" w:cs="Calibri"/>
                <w:color w:val="000000"/>
                <w:sz w:val="20"/>
                <w:szCs w:val="20"/>
                <w:lang w:val="es-PE"/>
              </w:rPr>
              <w:t xml:space="preserve">S/ 4,560.00</w:t>
            </w:r>
          </w:p>
        </w:tc>
        <w:tc>
          <w:tcPr>
            <w:tcW w:w="1600" w:type="dxa"/>
            <w:shd w:val="clear" w:color="auto" w:fill="FFFFFF"/>
            <w:vAlign w:val="center"/>
          </w:tcPr>
          <w:p>
            <w:pPr>
              <w:spacing w:before="0" w:after="0" w:line="276" w:lineRule="auto"/>
              <w:jc w:val="right"/>
            </w:pPr>
            <w:r>
              <w:rPr>
                <w:rFonts w:ascii="Calibri" w:hAnsi="Calibri" w:cs="Calibri"/>
                <w:color w:val="000000"/>
                <w:sz w:val="20"/>
                <w:szCs w:val="20"/>
                <w:lang w:val="es-PE"/>
              </w:rPr>
              <w:t xml:space="preserve">S/ 4,560.00</w:t>
            </w:r>
          </w:p>
        </w:tc>
      </w:tr>
      <w:tr>
        <w:trPr>
          <w:cantSplit/>
        </w:trPr>
        <w:tc>
          <w:tcPr>
            <w:tcW w:w="17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IGV</w:t>
            </w:r>
          </w:p>
        </w:tc>
        <w:tc>
          <w:tcPr>
            <w:tcW w:w="31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18 % sobre S/ 95,760.00</w:t>
            </w:r>
          </w:p>
        </w:tc>
        <w:tc>
          <w:tcPr>
            <w:tcW w:w="800" w:type="dxa"/>
            <w:shd w:val="clear" w:color="auto" w:fill="EBF3FB"/>
            <w:vAlign w:val="center"/>
          </w:tcPr>
          <w:p>
            <w:pPr>
              <w:spacing w:before="0" w:after="0" w:line="276" w:lineRule="auto"/>
              <w:jc w:val="center"/>
            </w:pPr>
            <w:r>
              <w:rPr>
                <w:rFonts w:ascii="Calibri" w:hAnsi="Calibri" w:cs="Calibri"/>
                <w:color w:val="000000"/>
                <w:sz w:val="20"/>
                <w:szCs w:val="20"/>
                <w:lang w:val="es-PE"/>
              </w:rPr>
              <w:t xml:space="preserve">1</w:t>
            </w:r>
          </w:p>
        </w:tc>
        <w:tc>
          <w:tcPr>
            <w:tcW w:w="1500" w:type="dxa"/>
            <w:shd w:val="clear" w:color="auto" w:fill="EBF3FB"/>
            <w:vAlign w:val="center"/>
          </w:tcPr>
          <w:p>
            <w:pPr>
              <w:spacing w:before="0" w:after="0" w:line="276" w:lineRule="auto"/>
              <w:jc w:val="right"/>
            </w:pPr>
            <w:r>
              <w:rPr>
                <w:rFonts w:ascii="Calibri" w:hAnsi="Calibri" w:cs="Calibri"/>
                <w:color w:val="000000"/>
                <w:sz w:val="20"/>
                <w:szCs w:val="20"/>
                <w:lang w:val="es-PE"/>
              </w:rPr>
              <w:t xml:space="preserve">S/ 17,236.80</w:t>
            </w:r>
          </w:p>
        </w:tc>
        <w:tc>
          <w:tcPr>
            <w:tcW w:w="1600" w:type="dxa"/>
            <w:shd w:val="clear" w:color="auto" w:fill="EBF3FB"/>
            <w:vAlign w:val="center"/>
          </w:tcPr>
          <w:p>
            <w:pPr>
              <w:spacing w:before="0" w:after="0" w:line="276" w:lineRule="auto"/>
              <w:jc w:val="right"/>
            </w:pPr>
            <w:r>
              <w:rPr>
                <w:rFonts w:ascii="Calibri" w:hAnsi="Calibri" w:cs="Calibri"/>
                <w:color w:val="000000"/>
                <w:sz w:val="20"/>
                <w:szCs w:val="20"/>
                <w:lang w:val="es-PE"/>
              </w:rPr>
              <w:t xml:space="preserve">S/ 17,236.80</w:t>
            </w:r>
          </w:p>
        </w:tc>
      </w:tr>
      <w:tr>
        <w:trPr>
          <w:cantSplit/>
        </w:trPr>
        <w:tc>
          <w:tcPr>
            <w:tcW w:w="1700" w:type="dxa"/>
            <w:shd w:val="clear" w:color="auto" w:fill="DEEAF1"/>
            <w:vAlign w:val="center"/>
          </w:tcPr>
          <w:p>
            <w:pPr>
              <w:spacing w:before="0" w:after="0" w:line="276" w:lineRule="auto"/>
              <w:jc w:val="left"/>
            </w:pPr>
            <w:r>
              <w:rPr>
                <w:rFonts w:ascii="Calibri" w:hAnsi="Calibri" w:cs="Calibri"/>
                <w:b/>
                <w:bCs/>
                <w:color w:val="000000"/>
                <w:sz w:val="20"/>
                <w:szCs w:val="20"/>
                <w:lang w:val="es-PE"/>
              </w:rPr>
              <w:t xml:space="preserve">TOTAL GENERAL</w:t>
            </w:r>
          </w:p>
        </w:tc>
        <w:tc>
          <w:tcPr>
            <w:tcW w:w="3188" w:type="dxa"/>
            <w:shd w:val="clear" w:color="auto" w:fill="DEEAF1"/>
            <w:vAlign w:val="center"/>
          </w:tcPr>
          <w:p>
            <w:pPr>
              <w:spacing w:before="0" w:after="0" w:line="276" w:lineRule="auto"/>
              <w:jc w:val="left"/>
            </w:pPr>
            <w:r>
              <w:rPr>
                <w:rFonts w:ascii="Calibri" w:hAnsi="Calibri" w:cs="Calibri"/>
                <w:b/>
                <w:bCs/>
                <w:color w:val="000000"/>
                <w:sz w:val="20"/>
                <w:szCs w:val="20"/>
                <w:lang w:val="es-PE"/>
              </w:rPr>
              <w:t xml:space="preserve"/>
            </w:r>
          </w:p>
        </w:tc>
        <w:tc>
          <w:tcPr>
            <w:tcW w:w="800" w:type="dxa"/>
            <w:shd w:val="clear" w:color="auto" w:fill="DEEAF1"/>
            <w:vAlign w:val="center"/>
          </w:tcPr>
          <w:p>
            <w:pPr>
              <w:spacing w:before="0" w:after="0" w:line="276" w:lineRule="auto"/>
              <w:jc w:val="center"/>
            </w:pPr>
            <w:r>
              <w:rPr>
                <w:rFonts w:ascii="Calibri" w:hAnsi="Calibri" w:cs="Calibri"/>
                <w:b/>
                <w:bCs/>
                <w:color w:val="000000"/>
                <w:sz w:val="20"/>
                <w:szCs w:val="20"/>
                <w:lang w:val="es-PE"/>
              </w:rPr>
              <w:t xml:space="preserve"/>
            </w:r>
          </w:p>
        </w:tc>
        <w:tc>
          <w:tcPr>
            <w:tcW w:w="1500" w:type="dxa"/>
            <w:shd w:val="clear" w:color="auto" w:fill="DEEAF1"/>
            <w:vAlign w:val="center"/>
          </w:tcPr>
          <w:p>
            <w:pPr>
              <w:spacing w:before="0" w:after="0" w:line="276" w:lineRule="auto"/>
              <w:jc w:val="right"/>
            </w:pPr>
            <w:r>
              <w:rPr>
                <w:rFonts w:ascii="Calibri" w:hAnsi="Calibri" w:cs="Calibri"/>
                <w:b/>
                <w:bCs/>
                <w:color w:val="000000"/>
                <w:sz w:val="20"/>
                <w:szCs w:val="20"/>
                <w:lang w:val="es-PE"/>
              </w:rPr>
              <w:t xml:space="preserve"/>
            </w:r>
          </w:p>
        </w:tc>
        <w:tc>
          <w:tcPr>
            <w:tcW w:w="1600" w:type="dxa"/>
            <w:shd w:val="clear" w:color="auto" w:fill="DEEAF1"/>
            <w:vAlign w:val="center"/>
          </w:tcPr>
          <w:p>
            <w:pPr>
              <w:spacing w:before="0" w:after="0" w:line="276" w:lineRule="auto"/>
              <w:jc w:val="right"/>
            </w:pPr>
            <w:r>
              <w:rPr>
                <w:rFonts w:ascii="Calibri" w:hAnsi="Calibri" w:cs="Calibri"/>
                <w:b/>
                <w:bCs/>
                <w:color w:val="000000"/>
                <w:sz w:val="20"/>
                <w:szCs w:val="20"/>
                <w:lang w:val="es-PE"/>
              </w:rPr>
              <w:t xml:space="preserve">S/ 112,996.80</w:t>
            </w:r>
          </w:p>
        </w:tc>
      </w:tr>
    </w:tbl>
    <w:p>
      <w:pPr>
        <w:spacing w:after="120"/>
      </w:pPr>
    </w:p>
    <w:p>
      <w:pPr>
        <w:pStyle w:val="Ttulo2"/>
        <w:keepNext/>
        <w:spacing w:before="240" w:after="120" w:line="360" w:lineRule="auto"/>
        <w:jc w:val="left"/>
      </w:pPr>
      <w:r>
        <w:rPr>
          <w:rFonts w:ascii="Calibri" w:hAnsi="Calibri" w:cs="Calibri"/>
          <w:b/>
          <w:bCs/>
          <w:color w:val="000000"/>
          <w:sz w:val="24"/>
          <w:szCs w:val="24"/>
          <w:lang w:val="es-PE"/>
        </w:rPr>
        <w:t xml:space="preserve">1.3 Contrato de obra, documento de supervisión y acta de conformidad de obra</w:t>
      </w:r>
    </w:p>
    <w:p>
      <w:pPr>
        <w:spacing w:before="0" w:after="80" w:line="360" w:lineRule="auto"/>
        <w:jc w:val="both"/>
      </w:pPr>
      <w:r>
        <w:rPr>
          <w:rFonts w:ascii="Calibri" w:hAnsi="Calibri" w:cs="Calibri"/>
          <w:b/>
          <w:bCs/>
          <w:color w:val="000000"/>
          <w:sz w:val="22"/>
          <w:szCs w:val="22"/>
          <w:lang w:val="es-PE"/>
        </w:rPr>
        <w:t xml:space="preserve">Contrato de obra: </w:t>
      </w:r>
      <w:r>
        <w:rPr>
          <w:rFonts w:ascii="Calibri" w:hAnsi="Calibri" w:cs="Calibri"/>
          <w:color w:val="000000"/>
          <w:sz w:val="22"/>
          <w:szCs w:val="22"/>
          <w:lang w:val="es-PE"/>
        </w:rPr>
        <w:t xml:space="preserve">Contrato de obra suscrito el 3 de abril de 2025 entre Raíz Café S.A.C. y el estudio responsable, por S/ 112,996.80 incluido IGV, con plazo de 10 semanas de obra y tres pagos (40 %, 40 % y 20 %). Ver anexo 1.</w:t>
      </w:r>
    </w:p>
    <w:p>
      <w:pPr>
        <w:spacing w:before="0" w:after="80" w:line="360" w:lineRule="auto"/>
        <w:jc w:val="both"/>
      </w:pPr>
      <w:r>
        <w:rPr>
          <w:rFonts w:ascii="Calibri" w:hAnsi="Calibri" w:cs="Calibri"/>
          <w:b/>
          <w:bCs/>
          <w:color w:val="000000"/>
          <w:sz w:val="22"/>
          <w:szCs w:val="22"/>
          <w:lang w:val="es-PE"/>
        </w:rPr>
        <w:t xml:space="preserve">Documentos de supervisión: </w:t>
      </w:r>
      <w:r>
        <w:rPr>
          <w:rFonts w:ascii="Calibri" w:hAnsi="Calibri" w:cs="Calibri"/>
          <w:color w:val="000000"/>
          <w:sz w:val="22"/>
          <w:szCs w:val="22"/>
          <w:lang w:val="es-PE"/>
        </w:rPr>
        <w:t xml:space="preserve">10 informes semanales de avance con registro fotográfico, cronograma de Gantt y 4 protocolos de control de calidad (pisos, drywall, instalaciones eléctricas y mobiliario).</w:t>
      </w:r>
    </w:p>
    <w:p>
      <w:pPr>
        <w:spacing w:before="0" w:after="80" w:line="360" w:lineRule="auto"/>
        <w:jc w:val="both"/>
      </w:pPr>
      <w:r>
        <w:rPr>
          <w:rFonts w:ascii="Calibri" w:hAnsi="Calibri" w:cs="Calibri"/>
          <w:b/>
          <w:bCs/>
          <w:color w:val="000000"/>
          <w:sz w:val="22"/>
          <w:szCs w:val="22"/>
          <w:lang w:val="es-PE"/>
        </w:rPr>
        <w:t xml:space="preserve">Acta de conformidad de obra: </w:t>
      </w:r>
      <w:r>
        <w:rPr>
          <w:rFonts w:ascii="Calibri" w:hAnsi="Calibri" w:cs="Calibri"/>
          <w:color w:val="000000"/>
          <w:sz w:val="22"/>
          <w:szCs w:val="22"/>
          <w:lang w:val="es-PE"/>
        </w:rPr>
        <w:t xml:space="preserve">Acta firmada por la gerente general el 18 de julio de 2025, tras el levantamiento de 6 observaciones menores de acabados.</w:t>
      </w:r>
    </w:p>
    <w:tbl>
      <w:tblPr>
        <w:tblW w:w="8788" w:type="dxa"/>
        <w:jc w:val="center"/>
      </w:tblPr>
      <w:tblGrid>
        <w:gridCol w:w="8788"/>
      </w:tblGrid>
      <w:tr>
        <w:tc>
          <w:tcPr>
            <w:tcW w:w="8788" w:type="dxa"/>
            <w:shd w:val="clear" w:color="auto" w:fill="FFF2CC"/>
          </w:tcPr>
          <w:p>
            <w:pPr>
              <w:spacing w:before="80" w:after="80" w:line="276" w:lineRule="auto"/>
              <w:jc w:val="both"/>
            </w:pPr>
            <w:r>
              <w:rPr>
                <w:rFonts w:ascii="Calibri" w:hAnsi="Calibri" w:cs="Calibri"/>
                <w:b/>
                <w:bCs/>
                <w:color w:val="000000"/>
                <w:sz w:val="20"/>
                <w:szCs w:val="20"/>
                <w:lang w:val="es-PE"/>
              </w:rPr>
              <w:t xml:space="preserve">Ampliación esperada por la asesoría: </w:t>
            </w:r>
            <w:r>
              <w:rPr>
                <w:rFonts w:ascii="Calibri" w:hAnsi="Calibri" w:cs="Calibri"/>
                <w:i/>
                <w:iCs/>
                <w:color w:val="595959"/>
                <w:sz w:val="20"/>
                <w:szCs w:val="20"/>
                <w:lang w:val="es-PE"/>
              </w:rPr>
              <w:t xml:space="preserve">el umbral mínimo del generador es un punto de partida. El docente orientador evaluará la profundidad de la fundamentación teórica, la robustez de las evidencias y la coherencia entre objetivos y resultados.</w:t>
            </w:r>
          </w:p>
        </w:tc>
      </w:tr>
    </w:tbl>
    <w:p>
      <w:pPr>
        <w:spacing w:after="120"/>
      </w:pPr>
    </w:p>
    <w:p>
      <w:r>
        <w:br w:type="page"/>
      </w:r>
    </w:p>
    <w:p>
      <w:pPr>
        <w:pStyle w:val="Ttulo1"/>
        <w:keepNext/>
        <w:spacing w:before="240" w:after="240" w:line="360" w:lineRule="auto"/>
        <w:jc w:val="center"/>
      </w:pPr>
      <w:r>
        <w:rPr>
          <w:rFonts w:ascii="Calibri" w:hAnsi="Calibri" w:cs="Calibri"/>
          <w:b/>
          <w:bCs/>
          <w:color w:val="000000"/>
          <w:sz w:val="28"/>
          <w:szCs w:val="28"/>
          <w:lang w:val="es-PE"/>
        </w:rPr>
        <w:t xml:space="preserve">CAPÍTULO II: ASPECTOS PRÁCTICOS O DEMOSTRATIVOS</w:t>
      </w:r>
    </w:p>
    <w:p>
      <w:pPr>
        <w:pStyle w:val="Ttulo2"/>
        <w:keepNext/>
        <w:spacing w:before="240" w:after="120" w:line="360" w:lineRule="auto"/>
        <w:jc w:val="left"/>
      </w:pPr>
      <w:r>
        <w:rPr>
          <w:rFonts w:ascii="Calibri" w:hAnsi="Calibri" w:cs="Calibri"/>
          <w:b/>
          <w:bCs/>
          <w:color w:val="000000"/>
          <w:sz w:val="24"/>
          <w:szCs w:val="24"/>
          <w:lang w:val="es-PE"/>
        </w:rPr>
        <w:t xml:space="preserve">2.1 Propuesta del diseño en planos 2D y 3D</w:t>
      </w:r>
    </w:p>
    <w:tbl>
      <w:tblPr>
        <w:tblW w:w="878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3200"/>
        <w:gridCol w:w="5588"/>
      </w:tblGrid>
      <w:tr>
        <w:trPr>
          <w:tblHeader/>
        </w:trPr>
        <w:tc>
          <w:tcPr>
            <w:tcW w:w="32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Apartado</w:t>
            </w:r>
          </w:p>
        </w:tc>
        <w:tc>
          <w:tcPr>
            <w:tcW w:w="5588"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Descripción</w:t>
            </w:r>
          </w:p>
        </w:tc>
      </w:tr>
      <w:tr>
        <w:trPr>
          <w:cantSplit/>
        </w:trPr>
        <w:tc>
          <w:tcPr>
            <w:tcW w:w="32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a. Plano arquitectónico inicial</w:t>
            </w:r>
          </w:p>
        </w:tc>
        <w:tc>
          <w:tcPr>
            <w:tcW w:w="55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1 lámina a escala 1:50 con el levantamiento del estado actual del local (planta y dos cortes).</w:t>
            </w:r>
          </w:p>
        </w:tc>
      </w:tr>
      <w:tr>
        <w:trPr>
          <w:cantSplit/>
        </w:trPr>
        <w:tc>
          <w:tcPr>
            <w:tcW w:w="32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b. Plano de distribución: planta, cortes y elevaciones</w:t>
            </w:r>
          </w:p>
        </w:tc>
        <w:tc>
          <w:tcPr>
            <w:tcW w:w="55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2 láminas a escala 1:50: planta de distribución con mobiliario y circulación, cortes A-A y B-B, elevaciones de barra y banca.</w:t>
            </w:r>
          </w:p>
        </w:tc>
      </w:tr>
      <w:tr>
        <w:trPr>
          <w:cantSplit/>
        </w:trPr>
        <w:tc>
          <w:tcPr>
            <w:tcW w:w="32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c. Plano decorativo: planta, cortes y elevaciones</w:t>
            </w:r>
          </w:p>
        </w:tc>
        <w:tc>
          <w:tcPr>
            <w:tcW w:w="55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2 láminas a escala 1:50: planta de pisos, muros y cielo raso con leyenda de acabados; elevaciones decorativas.</w:t>
            </w:r>
          </w:p>
        </w:tc>
      </w:tr>
      <w:tr>
        <w:trPr>
          <w:cantSplit/>
        </w:trPr>
        <w:tc>
          <w:tcPr>
            <w:tcW w:w="32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d. Plano de iluminación</w:t>
            </w:r>
          </w:p>
        </w:tc>
        <w:tc>
          <w:tcPr>
            <w:tcW w:w="55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1 lámina a escala 1:50 con ubicación de luminarias, tres circuitos y controles con dimmer.</w:t>
            </w:r>
          </w:p>
        </w:tc>
      </w:tr>
      <w:tr>
        <w:trPr>
          <w:cantSplit/>
        </w:trPr>
        <w:tc>
          <w:tcPr>
            <w:tcW w:w="32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e. Planos de detalles constructivos (muebles y otros)</w:t>
            </w:r>
          </w:p>
        </w:tc>
        <w:tc>
          <w:tcPr>
            <w:tcW w:w="55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4 láminas a escala 1:10 y 1:5: despiece de barra de atención, banca corrida, mesa y repisa posterior.</w:t>
            </w:r>
          </w:p>
        </w:tc>
      </w:tr>
      <w:tr>
        <w:trPr>
          <w:cantSplit/>
        </w:trPr>
        <w:tc>
          <w:tcPr>
            <w:tcW w:w="32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f. Vistas 3D o fotorrealistas</w:t>
            </w:r>
          </w:p>
        </w:tc>
        <w:tc>
          <w:tcPr>
            <w:tcW w:w="55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6 renders fotorrealistas (fachada, barra, salón, banca, servicio higiénico y vista nocturna) y un recorrido virtual de 90 segundos; registro fotográfico final de 40 imágenes.</w:t>
            </w:r>
          </w:p>
        </w:tc>
      </w:tr>
    </w:tbl>
    <w:p>
      <w:pPr>
        <w:spacing w:after="120"/>
      </w:pPr>
    </w:p>
    <w:p>
      <w:pPr>
        <w:spacing w:before="0" w:after="80" w:line="360" w:lineRule="auto"/>
        <w:jc w:val="both"/>
      </w:pPr>
      <w:r>
        <w:rPr>
          <w:rFonts w:ascii="Calibri" w:hAnsi="Calibri" w:cs="Calibri"/>
          <w:b/>
          <w:bCs/>
          <w:color w:val="000000"/>
          <w:sz w:val="22"/>
          <w:szCs w:val="22"/>
          <w:lang w:val="es-PE"/>
        </w:rPr>
        <w:t xml:space="preserve">Tecnología empleada: </w:t>
      </w:r>
      <w:r>
        <w:rPr>
          <w:rFonts w:ascii="Calibri" w:hAnsi="Calibri" w:cs="Calibri"/>
          <w:color w:val="000000"/>
          <w:sz w:val="22"/>
          <w:szCs w:val="22"/>
          <w:lang w:val="es-PE"/>
        </w:rPr>
        <w:t xml:space="preserve">AutoCAD para planos 2D; SketchUp y Enscape para modelado y renders; Excel para metrados y presupuesto; cortadora láser para las piezas de la maqueta.</w:t>
      </w:r>
    </w:p>
    <w:p>
      <w:pPr>
        <w:spacing w:before="0" w:after="120" w:line="360" w:lineRule="auto"/>
        <w:jc w:val="both"/>
      </w:pPr>
      <w:r>
        <w:rPr>
          <w:rFonts w:ascii="Calibri" w:hAnsi="Calibri" w:cs="Calibri"/>
          <w:color w:val="000000"/>
          <w:sz w:val="22"/>
          <w:szCs w:val="22"/>
          <w:lang w:val="es-PE"/>
        </w:rPr>
        <w:t xml:space="preserve">Los planos 2D y 3D se presentan en formato A3, plegados e insertados en el portafolio académico A4.</w:t>
      </w:r>
    </w:p>
    <w:p>
      <w:pPr>
        <w:pStyle w:val="Ttulo2"/>
        <w:keepNext/>
        <w:spacing w:before="240" w:after="120" w:line="360" w:lineRule="auto"/>
        <w:jc w:val="left"/>
      </w:pPr>
      <w:r>
        <w:rPr>
          <w:rFonts w:ascii="Calibri" w:hAnsi="Calibri" w:cs="Calibri"/>
          <w:b/>
          <w:bCs/>
          <w:color w:val="000000"/>
          <w:sz w:val="24"/>
          <w:szCs w:val="24"/>
          <w:lang w:val="es-PE"/>
        </w:rPr>
        <w:t xml:space="preserve">2.2 Demostración práctica del proyecto u obra</w:t>
      </w:r>
    </w:p>
    <w:tbl>
      <w:tblPr>
        <w:tblW w:w="878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3200"/>
        <w:gridCol w:w="5588"/>
      </w:tblGrid>
      <w:tr>
        <w:trPr>
          <w:tblHeader/>
        </w:trPr>
        <w:tc>
          <w:tcPr>
            <w:tcW w:w="3200"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Apartado</w:t>
            </w:r>
          </w:p>
        </w:tc>
        <w:tc>
          <w:tcPr>
            <w:tcW w:w="5588" w:type="dxa"/>
            <w:shd w:val="clear" w:color="auto" w:fill="2E75B6"/>
            <w:vAlign w:val="center"/>
          </w:tcPr>
          <w:p>
            <w:pPr>
              <w:spacing w:before="0" w:after="0" w:line="276" w:lineRule="auto"/>
              <w:jc w:val="center"/>
            </w:pPr>
            <w:r>
              <w:rPr>
                <w:rFonts w:ascii="Calibri" w:hAnsi="Calibri" w:cs="Calibri"/>
                <w:b/>
                <w:bCs/>
                <w:color w:val="FFFFFF"/>
                <w:sz w:val="20"/>
                <w:szCs w:val="20"/>
                <w:lang w:val="es-PE"/>
              </w:rPr>
              <w:t xml:space="preserve">Descripción</w:t>
            </w:r>
          </w:p>
        </w:tc>
      </w:tr>
      <w:tr>
        <w:trPr>
          <w:cantSplit/>
        </w:trPr>
        <w:tc>
          <w:tcPr>
            <w:tcW w:w="32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a. Objetivo de la demostración práctica</w:t>
            </w:r>
          </w:p>
        </w:tc>
        <w:tc>
          <w:tcPr>
            <w:tcW w:w="55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Demostrar la competencia de especificación técnica y armado de mobiliario mediante el montaje de una maqueta a escala 1:25 de la barra de atención.</w:t>
            </w:r>
          </w:p>
        </w:tc>
      </w:tr>
      <w:tr>
        <w:trPr>
          <w:cantSplit/>
        </w:trPr>
        <w:tc>
          <w:tcPr>
            <w:tcW w:w="32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b. Descripción de la demostración práctica</w:t>
            </w:r>
          </w:p>
        </w:tc>
        <w:tc>
          <w:tcPr>
            <w:tcW w:w="55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Se armará la maqueta de la barra a partir de piezas de MDF cortadas según el plano de detalle, se explicará el despiece y se presentarán muestras físicas de los acabados especificados.</w:t>
            </w:r>
          </w:p>
        </w:tc>
      </w:tr>
      <w:tr>
        <w:trPr>
          <w:cantSplit/>
        </w:trPr>
        <w:tc>
          <w:tcPr>
            <w:tcW w:w="3200"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c. Procedimiento a realizar</w:t>
            </w:r>
          </w:p>
        </w:tc>
        <w:tc>
          <w:tcPr>
            <w:tcW w:w="5588" w:type="dxa"/>
            <w:shd w:val="clear" w:color="auto" w:fill="EBF3FB"/>
            <w:vAlign w:val="center"/>
          </w:tcPr>
          <w:p>
            <w:pPr>
              <w:spacing w:before="0" w:after="0" w:line="276" w:lineRule="auto"/>
              <w:jc w:val="left"/>
            </w:pPr>
            <w:r>
              <w:rPr>
                <w:rFonts w:ascii="Calibri" w:hAnsi="Calibri" w:cs="Calibri"/>
                <w:color w:val="000000"/>
                <w:sz w:val="20"/>
                <w:szCs w:val="20"/>
                <w:lang w:val="es-PE"/>
              </w:rPr>
              <w:t xml:space="preserve">1. Colocación de equipo de protección (lentes y guantes) y orden del área de trabajo (3 min).</w:t>
            </w:r>
          </w:p>
          <w:p>
            <w:pPr>
              <w:spacing w:before="0" w:after="0" w:line="276" w:lineRule="auto"/>
              <w:jc w:val="left"/>
            </w:pPr>
            <w:r>
              <w:rPr>
                <w:rFonts w:ascii="Calibri" w:hAnsi="Calibri" w:cs="Calibri"/>
                <w:color w:val="000000"/>
                <w:sz w:val="20"/>
                <w:szCs w:val="20"/>
                <w:lang w:val="es-PE"/>
              </w:rPr>
              <w:t xml:space="preserve">2. Lectura del plano de detalle y del despiece (7 min).</w:t>
            </w:r>
          </w:p>
          <w:p>
            <w:pPr>
              <w:spacing w:before="0" w:after="0" w:line="276" w:lineRule="auto"/>
              <w:jc w:val="left"/>
            </w:pPr>
            <w:r>
              <w:rPr>
                <w:rFonts w:ascii="Calibri" w:hAnsi="Calibri" w:cs="Calibri"/>
                <w:color w:val="000000"/>
                <w:sz w:val="20"/>
                <w:szCs w:val="20"/>
                <w:lang w:val="es-PE"/>
              </w:rPr>
              <w:t xml:space="preserve">3. Armado de estructura y tableros de la maqueta (20 min).</w:t>
            </w:r>
          </w:p>
          <w:p>
            <w:pPr>
              <w:spacing w:before="0" w:after="0" w:line="276" w:lineRule="auto"/>
              <w:jc w:val="left"/>
            </w:pPr>
            <w:r>
              <w:rPr>
                <w:rFonts w:ascii="Calibri" w:hAnsi="Calibri" w:cs="Calibri"/>
                <w:color w:val="000000"/>
                <w:sz w:val="20"/>
                <w:szCs w:val="20"/>
                <w:lang w:val="es-PE"/>
              </w:rPr>
              <w:t xml:space="preserve">4. Colocación de muestras de acabados y explicación de especificaciones (10 min).</w:t>
            </w:r>
          </w:p>
        </w:tc>
      </w:tr>
      <w:tr>
        <w:trPr>
          <w:cantSplit/>
        </w:trPr>
        <w:tc>
          <w:tcPr>
            <w:tcW w:w="3200"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d. Materiales y herramientas a utilizar</w:t>
            </w:r>
          </w:p>
        </w:tc>
        <w:tc>
          <w:tcPr>
            <w:tcW w:w="5588" w:type="dxa"/>
            <w:shd w:val="clear" w:color="auto" w:fill="FFFFFF"/>
            <w:vAlign w:val="center"/>
          </w:tcPr>
          <w:p>
            <w:pPr>
              <w:spacing w:before="0" w:after="0" w:line="276" w:lineRule="auto"/>
              <w:jc w:val="left"/>
            </w:pPr>
            <w:r>
              <w:rPr>
                <w:rFonts w:ascii="Calibri" w:hAnsi="Calibri" w:cs="Calibri"/>
                <w:color w:val="000000"/>
                <w:sz w:val="20"/>
                <w:szCs w:val="20"/>
                <w:lang w:val="es-PE"/>
              </w:rPr>
              <w:t xml:space="preserve">PPT y 2 paneles A1; piezas de MDF de 3 mm, cola, muestras de porcelanato y madera; escuadra, cúter, pistola de silicona; lentes y guantes de protección.</w:t>
            </w:r>
          </w:p>
        </w:tc>
      </w:tr>
    </w:tbl>
    <w:p>
      <w:pPr>
        <w:spacing w:after="120"/>
      </w:pPr>
    </w:p>
    <w:tbl>
      <w:tblPr>
        <w:tblW w:w="8788" w:type="dxa"/>
        <w:jc w:val="center"/>
      </w:tblPr>
      <w:tblGrid>
        <w:gridCol w:w="8788"/>
      </w:tblGrid>
      <w:tr>
        <w:tc>
          <w:tcPr>
            <w:tcW w:w="8788" w:type="dxa"/>
            <w:shd w:val="clear" w:color="auto" w:fill="FFF2CC"/>
          </w:tcPr>
          <w:p>
            <w:pPr>
              <w:spacing w:before="80" w:after="80" w:line="276" w:lineRule="auto"/>
              <w:jc w:val="both"/>
            </w:pPr>
            <w:r>
              <w:rPr>
                <w:rFonts w:ascii="Calibri" w:hAnsi="Calibri" w:cs="Calibri"/>
                <w:b/>
                <w:bCs/>
                <w:color w:val="000000"/>
                <w:sz w:val="20"/>
                <w:szCs w:val="20"/>
                <w:lang w:val="es-PE"/>
              </w:rPr>
              <w:t xml:space="preserve">Recomendación: </w:t>
            </w:r>
            <w:r>
              <w:rPr>
                <w:rFonts w:ascii="Calibri" w:hAnsi="Calibri" w:cs="Calibri"/>
                <w:i/>
                <w:iCs/>
                <w:color w:val="595959"/>
                <w:sz w:val="20"/>
                <w:szCs w:val="20"/>
                <w:lang w:val="es-PE"/>
              </w:rPr>
              <w:t xml:space="preserve">la demostración práctica (40 minutos) debe ser didáctica, utilizar medios tecnológicos, herramientas y materiales, desarrollar destrezas psicomotrices inherentes a los diseñadores de interiores e incorporar normas de seguridad en obras.</w:t>
            </w:r>
          </w:p>
        </w:tc>
      </w:tr>
    </w:tbl>
    <w:p>
      <w:pPr>
        <w:spacing w:after="120"/>
      </w:pPr>
    </w:p>
    <w:p>
      <w:r>
        <w:br w:type="page"/>
      </w:r>
    </w:p>
    <w:p>
      <w:pPr>
        <w:pStyle w:val="Ttulo1"/>
        <w:keepNext/>
        <w:spacing w:before="240" w:after="240" w:line="360" w:lineRule="auto"/>
        <w:jc w:val="center"/>
      </w:pPr>
      <w:r>
        <w:rPr>
          <w:rFonts w:ascii="Calibri" w:hAnsi="Calibri" w:cs="Calibri"/>
          <w:b/>
          <w:bCs/>
          <w:color w:val="000000"/>
          <w:sz w:val="28"/>
          <w:szCs w:val="28"/>
          <w:lang w:val="es-PE"/>
        </w:rPr>
        <w:t xml:space="preserve">CAPÍTULO III: ANEXOS Y FUENTES DE INFORMACIÓN</w:t>
      </w:r>
    </w:p>
    <w:p>
      <w:pPr>
        <w:pStyle w:val="Ttulo2"/>
        <w:keepNext/>
        <w:spacing w:before="240" w:after="120" w:line="360" w:lineRule="auto"/>
        <w:jc w:val="left"/>
      </w:pPr>
      <w:r>
        <w:rPr>
          <w:rFonts w:ascii="Calibri" w:hAnsi="Calibri" w:cs="Calibri"/>
          <w:b/>
          <w:bCs/>
          <w:color w:val="000000"/>
          <w:sz w:val="24"/>
          <w:szCs w:val="24"/>
          <w:lang w:val="es-PE"/>
        </w:rPr>
        <w:t xml:space="preserve">3.1 Anexos: folletos técnicos y otros</w:t>
      </w:r>
    </w:p>
    <w:p>
      <w:pPr>
        <w:keepNext/>
        <w:spacing w:before="0" w:after="40" w:line="360" w:lineRule="auto"/>
        <w:jc w:val="left"/>
      </w:pPr>
      <w:r>
        <w:rPr>
          <w:rFonts w:ascii="Calibri" w:hAnsi="Calibri" w:cs="Calibri"/>
          <w:b/>
          <w:bCs/>
          <w:color w:val="000000"/>
          <w:sz w:val="22"/>
          <w:szCs w:val="22"/>
          <w:lang w:val="es-PE"/>
        </w:rPr>
        <w:t xml:space="preserve">Anexo 1. Contrato de obra firmado (3 de abril de 2025)</w:t>
      </w:r>
    </w:p>
    <w:p>
      <w:pPr>
        <w:spacing w:before="0" w:after="120" w:line="360" w:lineRule="auto"/>
        <w:jc w:val="both"/>
      </w:pPr>
      <w:r>
        <w:rPr>
          <w:rFonts w:ascii="Calibri" w:hAnsi="Calibri" w:cs="Calibri"/>
          <w:i/>
          <w:iCs/>
          <w:color w:val="595959"/>
          <w:sz w:val="21"/>
          <w:szCs w:val="21"/>
          <w:lang w:val="es-PE"/>
        </w:rPr>
        <w:t xml:space="preserve">[Insertar aquí la evidencia correspondiente]</w:t>
      </w:r>
    </w:p>
    <w:p>
      <w:pPr>
        <w:keepNext/>
        <w:spacing w:before="0" w:after="40" w:line="360" w:lineRule="auto"/>
        <w:jc w:val="left"/>
      </w:pPr>
      <w:r>
        <w:rPr>
          <w:rFonts w:ascii="Calibri" w:hAnsi="Calibri" w:cs="Calibri"/>
          <w:b/>
          <w:bCs/>
          <w:color w:val="000000"/>
          <w:sz w:val="22"/>
          <w:szCs w:val="22"/>
          <w:lang w:val="es-PE"/>
        </w:rPr>
        <w:t xml:space="preserve">Anexo 2. Presupuesto aprobado por partidas</w:t>
      </w:r>
    </w:p>
    <w:p>
      <w:pPr>
        <w:spacing w:before="0" w:after="120" w:line="360" w:lineRule="auto"/>
        <w:jc w:val="both"/>
      </w:pPr>
      <w:r>
        <w:rPr>
          <w:rFonts w:ascii="Calibri" w:hAnsi="Calibri" w:cs="Calibri"/>
          <w:i/>
          <w:iCs/>
          <w:color w:val="595959"/>
          <w:sz w:val="21"/>
          <w:szCs w:val="21"/>
          <w:lang w:val="es-PE"/>
        </w:rPr>
        <w:t xml:space="preserve">[Insertar aquí la evidencia correspondiente]</w:t>
      </w:r>
    </w:p>
    <w:p>
      <w:pPr>
        <w:keepNext/>
        <w:spacing w:before="0" w:after="40" w:line="360" w:lineRule="auto"/>
        <w:jc w:val="left"/>
      </w:pPr>
      <w:r>
        <w:rPr>
          <w:rFonts w:ascii="Calibri" w:hAnsi="Calibri" w:cs="Calibri"/>
          <w:b/>
          <w:bCs/>
          <w:color w:val="000000"/>
          <w:sz w:val="22"/>
          <w:szCs w:val="22"/>
          <w:lang w:val="es-PE"/>
        </w:rPr>
        <w:t xml:space="preserve">Anexo 3. Planos técnicos: 12 láminas A3</w:t>
      </w:r>
    </w:p>
    <w:p>
      <w:pPr>
        <w:spacing w:before="0" w:after="120" w:line="360" w:lineRule="auto"/>
        <w:jc w:val="both"/>
      </w:pPr>
      <w:r>
        <w:rPr>
          <w:rFonts w:ascii="Calibri" w:hAnsi="Calibri" w:cs="Calibri"/>
          <w:i/>
          <w:iCs/>
          <w:color w:val="595959"/>
          <w:sz w:val="21"/>
          <w:szCs w:val="21"/>
          <w:lang w:val="es-PE"/>
        </w:rPr>
        <w:t xml:space="preserve">[Insertar aquí la evidencia correspondiente]</w:t>
      </w:r>
    </w:p>
    <w:p>
      <w:pPr>
        <w:keepNext/>
        <w:spacing w:before="0" w:after="40" w:line="360" w:lineRule="auto"/>
        <w:jc w:val="left"/>
      </w:pPr>
      <w:r>
        <w:rPr>
          <w:rFonts w:ascii="Calibri" w:hAnsi="Calibri" w:cs="Calibri"/>
          <w:b/>
          <w:bCs/>
          <w:color w:val="000000"/>
          <w:sz w:val="22"/>
          <w:szCs w:val="22"/>
          <w:lang w:val="es-PE"/>
        </w:rPr>
        <w:t xml:space="preserve">Anexo 4. Renders 3D del salón y la barra (6 vistas)</w:t>
      </w:r>
    </w:p>
    <w:p>
      <w:pPr>
        <w:spacing w:before="0" w:after="120" w:line="360" w:lineRule="auto"/>
        <w:jc w:val="both"/>
      </w:pPr>
      <w:r>
        <w:rPr>
          <w:rFonts w:ascii="Calibri" w:hAnsi="Calibri" w:cs="Calibri"/>
          <w:i/>
          <w:iCs/>
          <w:color w:val="595959"/>
          <w:sz w:val="21"/>
          <w:szCs w:val="21"/>
          <w:lang w:val="es-PE"/>
        </w:rPr>
        <w:t xml:space="preserve">[Insertar aquí la evidencia correspondiente]</w:t>
      </w:r>
    </w:p>
    <w:p>
      <w:pPr>
        <w:keepNext/>
        <w:spacing w:before="0" w:after="40" w:line="360" w:lineRule="auto"/>
        <w:jc w:val="left"/>
      </w:pPr>
      <w:r>
        <w:rPr>
          <w:rFonts w:ascii="Calibri" w:hAnsi="Calibri" w:cs="Calibri"/>
          <w:b/>
          <w:bCs/>
          <w:color w:val="000000"/>
          <w:sz w:val="22"/>
          <w:szCs w:val="22"/>
          <w:lang w:val="es-PE"/>
        </w:rPr>
        <w:t xml:space="preserve">Anexo 5. Registro fotográfico del avance de obra (10 semanas)</w:t>
      </w:r>
    </w:p>
    <w:p>
      <w:pPr>
        <w:spacing w:before="0" w:after="120" w:line="360" w:lineRule="auto"/>
        <w:jc w:val="both"/>
      </w:pPr>
      <w:r>
        <w:rPr>
          <w:rFonts w:ascii="Calibri" w:hAnsi="Calibri" w:cs="Calibri"/>
          <w:i/>
          <w:iCs/>
          <w:color w:val="595959"/>
          <w:sz w:val="21"/>
          <w:szCs w:val="21"/>
          <w:lang w:val="es-PE"/>
        </w:rPr>
        <w:t xml:space="preserve">[Insertar aquí la evidencia correspondiente]</w:t>
      </w:r>
    </w:p>
    <w:p>
      <w:pPr>
        <w:keepNext/>
        <w:spacing w:before="0" w:after="40" w:line="360" w:lineRule="auto"/>
        <w:jc w:val="left"/>
      </w:pPr>
      <w:r>
        <w:rPr>
          <w:rFonts w:ascii="Calibri" w:hAnsi="Calibri" w:cs="Calibri"/>
          <w:b/>
          <w:bCs/>
          <w:color w:val="000000"/>
          <w:sz w:val="22"/>
          <w:szCs w:val="22"/>
          <w:lang w:val="es-PE"/>
        </w:rPr>
        <w:t xml:space="preserve">Anexo 6. Acta de conformidad de obra (18 de julio de 2025)</w:t>
      </w:r>
    </w:p>
    <w:p>
      <w:pPr>
        <w:spacing w:before="0" w:after="120" w:line="360" w:lineRule="auto"/>
        <w:jc w:val="both"/>
      </w:pPr>
      <w:r>
        <w:rPr>
          <w:rFonts w:ascii="Calibri" w:hAnsi="Calibri" w:cs="Calibri"/>
          <w:i/>
          <w:iCs/>
          <w:color w:val="595959"/>
          <w:sz w:val="21"/>
          <w:szCs w:val="21"/>
          <w:lang w:val="es-PE"/>
        </w:rPr>
        <w:t xml:space="preserve">[Insertar aquí la evidencia correspondiente]</w:t>
      </w:r>
    </w:p>
    <w:p>
      <w:pPr>
        <w:keepNext/>
        <w:spacing w:before="0" w:after="40" w:line="360" w:lineRule="auto"/>
        <w:jc w:val="left"/>
      </w:pPr>
      <w:r>
        <w:rPr>
          <w:rFonts w:ascii="Calibri" w:hAnsi="Calibri" w:cs="Calibri"/>
          <w:b/>
          <w:bCs/>
          <w:color w:val="000000"/>
          <w:sz w:val="22"/>
          <w:szCs w:val="22"/>
          <w:lang w:val="es-PE"/>
        </w:rPr>
        <w:t xml:space="preserve">Anexo 7. Fichas técnicas de porcelanato, luminarias y aire acondicionado</w:t>
      </w:r>
    </w:p>
    <w:p>
      <w:pPr>
        <w:spacing w:before="0" w:after="120" w:line="360" w:lineRule="auto"/>
        <w:jc w:val="both"/>
      </w:pPr>
      <w:r>
        <w:rPr>
          <w:rFonts w:ascii="Calibri" w:hAnsi="Calibri" w:cs="Calibri"/>
          <w:i/>
          <w:iCs/>
          <w:color w:val="595959"/>
          <w:sz w:val="21"/>
          <w:szCs w:val="21"/>
          <w:lang w:val="es-PE"/>
        </w:rPr>
        <w:t xml:space="preserve">[Insertar aquí la evidencia correspondiente]</w:t>
      </w:r>
    </w:p>
    <w:p>
      <w:pPr>
        <w:pStyle w:val="Ttulo2"/>
        <w:keepNext/>
        <w:spacing w:before="240" w:after="120" w:line="360" w:lineRule="auto"/>
        <w:jc w:val="left"/>
      </w:pPr>
      <w:r>
        <w:rPr>
          <w:rFonts w:ascii="Calibri" w:hAnsi="Calibri" w:cs="Calibri"/>
          <w:b/>
          <w:bCs/>
          <w:color w:val="000000"/>
          <w:sz w:val="24"/>
          <w:szCs w:val="24"/>
          <w:lang w:val="es-PE"/>
        </w:rPr>
        <w:t xml:space="preserve">3.2 Fuentes de información</w:t>
      </w:r>
    </w:p>
    <w:p>
      <w:pPr>
        <w:spacing w:before="0" w:after="0" w:line="480" w:lineRule="auto"/>
        <w:ind w:left="720" w:hanging="720"/>
        <w:jc w:val="left"/>
      </w:pPr>
      <w:r>
        <w:rPr>
          <w:rFonts w:ascii="Calibri" w:hAnsi="Calibri" w:cs="Calibri"/>
          <w:color w:val="000000"/>
          <w:sz w:val="22"/>
          <w:szCs w:val="22"/>
          <w:lang w:val="es-PE"/>
        </w:rPr>
        <w:t xml:space="preserve">American Psychological Association. (2020). Publication manual of the American Psychological Association (7th ed.). https://doi.org/10.1037/0000165-000</w:t>
      </w:r>
    </w:p>
    <w:p>
      <w:pPr>
        <w:spacing w:before="0" w:after="0" w:line="480" w:lineRule="auto"/>
        <w:ind w:left="720" w:hanging="720"/>
        <w:jc w:val="left"/>
      </w:pPr>
      <w:r>
        <w:rPr>
          <w:rFonts w:ascii="Calibri" w:hAnsi="Calibri" w:cs="Calibri"/>
          <w:color w:val="000000"/>
          <w:sz w:val="22"/>
          <w:szCs w:val="22"/>
          <w:lang w:val="es-PE"/>
        </w:rPr>
        <w:t xml:space="preserve">Ansone, A., Daniela, L., y Rūdolfa, A. (2025). Exploring university art students’ perceptions of generative AI in creative tasks. Education Sciences, 15(1), 45.</w:t>
      </w:r>
    </w:p>
    <w:p>
      <w:pPr>
        <w:spacing w:before="0" w:after="0" w:line="480" w:lineRule="auto"/>
        <w:ind w:left="720" w:hanging="720"/>
        <w:jc w:val="left"/>
      </w:pPr>
      <w:r>
        <w:rPr>
          <w:rFonts w:ascii="Calibri" w:hAnsi="Calibri" w:cs="Calibri"/>
          <w:color w:val="000000"/>
          <w:sz w:val="22"/>
          <w:szCs w:val="22"/>
          <w:lang w:val="es-PE"/>
        </w:rPr>
        <w:t xml:space="preserve">Chandrasekera, T., Hosseini, Z., y Perera, U. (2024). Generative AI tools in interior design education: Supporting different learning styles. International Journal of Architectural Computing.</w:t>
      </w:r>
    </w:p>
    <w:p>
      <w:pPr>
        <w:spacing w:before="0" w:after="0" w:line="480" w:lineRule="auto"/>
        <w:ind w:left="720" w:hanging="720"/>
        <w:jc w:val="left"/>
      </w:pPr>
      <w:r>
        <w:rPr>
          <w:rFonts w:ascii="Calibri" w:hAnsi="Calibri" w:cs="Calibri"/>
          <w:color w:val="000000"/>
          <w:sz w:val="22"/>
          <w:szCs w:val="22"/>
          <w:lang w:val="es-PE"/>
        </w:rPr>
        <w:t xml:space="preserve">Hernández-Sampieri, R., y Mendoza, C. P. (2018). Metodología de la investigación: Las rutas cuantitativa, cualitativa y mixta. McGraw-Hill Interamericana.</w:t>
      </w:r>
    </w:p>
    <w:p>
      <w:pPr>
        <w:spacing w:before="0" w:after="0" w:line="480" w:lineRule="auto"/>
        <w:ind w:left="720" w:hanging="720"/>
        <w:jc w:val="left"/>
      </w:pPr>
      <w:r>
        <w:rPr>
          <w:rFonts w:ascii="Calibri" w:hAnsi="Calibri" w:cs="Calibri"/>
          <w:color w:val="000000"/>
          <w:sz w:val="22"/>
          <w:szCs w:val="22"/>
          <w:lang w:val="es-PE"/>
        </w:rPr>
        <w:t xml:space="preserve">Hwang, A. H.-C., y Wu, Y. (2025). Bias and stereotypes in text-to-image generation: Implications for visual literacy in design education. Design Studies.</w:t>
      </w:r>
    </w:p>
    <w:p>
      <w:pPr>
        <w:spacing w:before="0" w:after="0" w:line="480" w:lineRule="auto"/>
        <w:ind w:left="720" w:hanging="720"/>
        <w:jc w:val="left"/>
      </w:pPr>
      <w:r>
        <w:rPr>
          <w:rFonts w:ascii="Calibri" w:hAnsi="Calibri" w:cs="Calibri"/>
          <w:color w:val="000000"/>
          <w:sz w:val="22"/>
          <w:szCs w:val="22"/>
          <w:lang w:val="es-PE"/>
        </w:rPr>
        <w:t xml:space="preserve">Jara, O. (2018). La sistematización de experiencias: Práctica y teoría para otros mundos posibles. Centro Internacional de Educación y Desarrollo Humano (CINDE).</w:t>
      </w:r>
    </w:p>
    <w:p>
      <w:pPr>
        <w:spacing w:before="0" w:after="0" w:line="480" w:lineRule="auto"/>
        <w:ind w:left="720" w:hanging="720"/>
        <w:jc w:val="left"/>
      </w:pPr>
      <w:r>
        <w:rPr>
          <w:rFonts w:ascii="Calibri" w:hAnsi="Calibri" w:cs="Calibri"/>
          <w:color w:val="000000"/>
          <w:sz w:val="22"/>
          <w:szCs w:val="22"/>
          <w:lang w:val="es-PE"/>
        </w:rPr>
        <w:t xml:space="preserve">Lee, S., y Choi, Y. (2024). An extended TPACK model with ChatGPT and Midjourney to empower ideation in design education. Sustainability, 16(20).</w:t>
      </w:r>
    </w:p>
    <w:p>
      <w:pPr>
        <w:spacing w:before="0" w:after="0" w:line="480" w:lineRule="auto"/>
        <w:ind w:left="720" w:hanging="720"/>
        <w:jc w:val="left"/>
      </w:pPr>
      <w:r>
        <w:rPr>
          <w:rFonts w:ascii="Calibri" w:hAnsi="Calibri" w:cs="Calibri"/>
          <w:color w:val="000000"/>
          <w:sz w:val="22"/>
          <w:szCs w:val="22"/>
          <w:lang w:val="es-PE"/>
        </w:rPr>
        <w:t xml:space="preserve">McAdoo, T., Denneny, C., y Lee, C. (2025). How to cite generative AI in APA Style (Parts 1-3). APA Style Blog. https://apastyle.apa.org</w:t>
      </w:r>
    </w:p>
    <w:p>
      <w:pPr>
        <w:spacing w:before="0" w:after="0" w:line="480" w:lineRule="auto"/>
        <w:ind w:left="720" w:hanging="720"/>
        <w:jc w:val="left"/>
      </w:pPr>
      <w:r>
        <w:rPr>
          <w:rFonts w:ascii="Calibri" w:hAnsi="Calibri" w:cs="Calibri"/>
          <w:color w:val="000000"/>
          <w:sz w:val="22"/>
          <w:szCs w:val="22"/>
          <w:lang w:val="es-PE"/>
        </w:rPr>
        <w:t xml:space="preserve">OpenAI. (2026). ChatGPT (versión) [Modelo de lenguaje grande]. https://chat.openai.com</w:t>
      </w:r>
    </w:p>
    <w:p>
      <w:pPr>
        <w:spacing w:before="0" w:after="0" w:line="480" w:lineRule="auto"/>
        <w:ind w:left="720" w:hanging="720"/>
        <w:jc w:val="left"/>
      </w:pPr>
      <w:r>
        <w:rPr>
          <w:rFonts w:ascii="Calibri" w:hAnsi="Calibri" w:cs="Calibri"/>
          <w:color w:val="000000"/>
          <w:sz w:val="22"/>
          <w:szCs w:val="22"/>
          <w:lang w:val="es-PE"/>
        </w:rPr>
        <w:t xml:space="preserve">Organización para la Cooperación y el Desarrollo Económicos, y Eurostat. (2018). Manual de Oslo 2018: Guía para la recogida, presentación y utilización de datos sobre innovación (4a ed.). OECD Publishing. https://doi.org/10.1787/9789264304604-en</w:t>
      </w:r>
    </w:p>
    <w:p>
      <w:r>
        <w:br w:type="page"/>
      </w:r>
    </w:p>
    <w:p>
      <w:pPr>
        <w:pStyle w:val="Ttulo1"/>
        <w:keepNext/>
        <w:spacing w:before="240" w:after="240" w:line="360" w:lineRule="auto"/>
        <w:jc w:val="center"/>
      </w:pPr>
      <w:r>
        <w:rPr>
          <w:rFonts w:ascii="Calibri" w:hAnsi="Calibri" w:cs="Calibri"/>
          <w:b/>
          <w:bCs/>
          <w:color w:val="000000"/>
          <w:sz w:val="28"/>
          <w:szCs w:val="28"/>
          <w:lang w:val="es-PE"/>
        </w:rPr>
        <w:t xml:space="preserve">CONCLUSIONES</w:t>
      </w:r>
    </w:p>
    <w:p>
      <w:pPr>
        <w:spacing w:before="0" w:after="120" w:line="360" w:lineRule="auto"/>
        <w:ind w:firstLine="708"/>
        <w:jc w:val="both"/>
      </w:pPr>
      <w:r>
        <w:rPr>
          <w:rFonts w:ascii="Calibri" w:hAnsi="Calibri" w:cs="Calibri"/>
          <w:color w:val="000000"/>
          <w:sz w:val="22"/>
          <w:szCs w:val="22"/>
          <w:lang w:val="es-PE"/>
        </w:rPr>
        <w:t xml:space="preserve">El proyecto se ejecutó con S/ 111,480.00 (98.7 % del presupuesto aprobado). La obra duró 11 semanas frente a 10 programadas, por la entrega tardía de la máquina de espresso. La gerente general calificó el proyecto con 4.5/5 en la encuesta de satisfacción y se levantaron 6 observaciones menores antes del acta de conformidad.</w:t>
      </w:r>
    </w:p>
    <w:p>
      <w:pPr>
        <w:spacing w:before="0" w:after="120" w:line="360" w:lineRule="auto"/>
        <w:ind w:left="426" w:hanging="426"/>
        <w:jc w:val="both"/>
      </w:pPr>
      <w:r>
        <w:rPr>
          <w:rFonts w:ascii="Calibri" w:hAnsi="Calibri" w:cs="Calibri"/>
          <w:b/>
          <w:bCs/>
          <w:color w:val="000000"/>
          <w:sz w:val="22"/>
          <w:szCs w:val="22"/>
          <w:lang w:val="es-PE"/>
        </w:rPr>
        <w:t xml:space="preserve">1. </w:t>
      </w:r>
      <w:r>
        <w:rPr>
          <w:rFonts w:ascii="Calibri" w:hAnsi="Calibri" w:cs="Calibri"/>
          <w:color w:val="000000"/>
          <w:sz w:val="22"/>
          <w:szCs w:val="22"/>
          <w:lang w:val="es-PE"/>
        </w:rPr>
        <w:t xml:space="preserve">El objetivo de fundamentar teóricamente el proyecto se logró mediante la articulación de la sistematización de experiencias y del método científico adaptado al diseño de espacios. Los resultados evidencian que el supuesto de diseño sobre la barra frontal pudo contrastarse con la operación del local. Sin embargo, la fundamentación requiere ampliarse con fuentes recientes sobre interiorismo comercial.</w:t>
      </w:r>
    </w:p>
    <w:p>
      <w:pPr>
        <w:spacing w:before="0" w:after="120" w:line="360" w:lineRule="auto"/>
        <w:ind w:left="426" w:hanging="426"/>
        <w:jc w:val="both"/>
      </w:pPr>
      <w:r>
        <w:rPr>
          <w:rFonts w:ascii="Calibri" w:hAnsi="Calibri" w:cs="Calibri"/>
          <w:b/>
          <w:bCs/>
          <w:color w:val="000000"/>
          <w:sz w:val="22"/>
          <w:szCs w:val="22"/>
          <w:lang w:val="es-PE"/>
        </w:rPr>
        <w:t xml:space="preserve">2. </w:t>
      </w:r>
      <w:r>
        <w:rPr>
          <w:rFonts w:ascii="Calibri" w:hAnsi="Calibri" w:cs="Calibri"/>
          <w:color w:val="000000"/>
          <w:sz w:val="22"/>
          <w:szCs w:val="22"/>
          <w:lang w:val="es-PE"/>
        </w:rPr>
        <w:t xml:space="preserve">El objetivo de describir el proceso de diseño y equipamiento se logró mediante el registro de las nueve etapas, desde la atención al cliente hasta el acta de conformidad. Los resultados evidencian que la supervisión semanal limitó el desfase del plazo a una semana. Sin embargo, la dependencia de un único proveedor de equipamiento constituyó la principal causa del retraso.</w:t>
      </w:r>
    </w:p>
    <w:p>
      <w:pPr>
        <w:spacing w:before="0" w:after="120" w:line="360" w:lineRule="auto"/>
        <w:ind w:left="426" w:hanging="426"/>
        <w:jc w:val="both"/>
      </w:pPr>
      <w:r>
        <w:rPr>
          <w:rFonts w:ascii="Calibri" w:hAnsi="Calibri" w:cs="Calibri"/>
          <w:b/>
          <w:bCs/>
          <w:color w:val="000000"/>
          <w:sz w:val="22"/>
          <w:szCs w:val="22"/>
          <w:lang w:val="es-PE"/>
        </w:rPr>
        <w:t xml:space="preserve">3. </w:t>
      </w:r>
      <w:r>
        <w:rPr>
          <w:rFonts w:ascii="Calibri" w:hAnsi="Calibri" w:cs="Calibri"/>
          <w:color w:val="000000"/>
          <w:sz w:val="22"/>
          <w:szCs w:val="22"/>
          <w:lang w:val="es-PE"/>
        </w:rPr>
        <w:t xml:space="preserve">El objetivo de demostrar la propuesta de diseño se logró mediante 12 láminas técnicas, 6 renders y una maqueta a escala 1:25 de la barra de atención. Los resultados evidencian coherencia entre los planos de detalle y el mobiliario fabricado. Esta experiencia muestra que el despiece estandarizado facilita la fabricación con talleres locales.</w:t>
      </w:r>
    </w:p>
    <w:p>
      <w:r>
        <w:br w:type="page"/>
      </w:r>
    </w:p>
    <w:p>
      <w:pPr>
        <w:pStyle w:val="Ttulo1"/>
        <w:keepNext/>
        <w:spacing w:before="240" w:after="240" w:line="360" w:lineRule="auto"/>
        <w:jc w:val="center"/>
      </w:pPr>
      <w:r>
        <w:rPr>
          <w:rFonts w:ascii="Calibri" w:hAnsi="Calibri" w:cs="Calibri"/>
          <w:b/>
          <w:bCs/>
          <w:color w:val="000000"/>
          <w:sz w:val="28"/>
          <w:szCs w:val="28"/>
          <w:lang w:val="es-PE"/>
        </w:rPr>
        <w:t xml:space="preserve">RECOMENDACIONES</w:t>
      </w:r>
    </w:p>
    <w:p>
      <w:pPr>
        <w:spacing w:before="0" w:after="80" w:line="360" w:lineRule="auto"/>
        <w:jc w:val="both"/>
      </w:pPr>
      <w:r>
        <w:rPr>
          <w:rFonts w:ascii="Calibri" w:hAnsi="Calibri" w:cs="Calibri"/>
          <w:b/>
          <w:bCs/>
          <w:color w:val="000000"/>
          <w:sz w:val="22"/>
          <w:szCs w:val="22"/>
          <w:lang w:val="es-PE"/>
        </w:rPr>
        <w:t xml:space="preserve">Al sector laboral del diseño de interiores y la construcción: </w:t>
      </w:r>
      <w:r>
        <w:rPr>
          <w:rFonts w:ascii="Calibri" w:hAnsi="Calibri" w:cs="Calibri"/>
          <w:color w:val="000000"/>
          <w:sz w:val="22"/>
          <w:szCs w:val="22"/>
          <w:lang w:val="es-PE"/>
        </w:rPr>
        <w:t xml:space="preserve">Se recomienda a las empresas del sector incorporar protocolos escritos de supervisión semanal en proyectos comerciales menores de 100 m².</w:t>
      </w:r>
    </w:p>
    <w:p>
      <w:pPr>
        <w:spacing w:before="0" w:after="80" w:line="360" w:lineRule="auto"/>
        <w:jc w:val="both"/>
      </w:pPr>
      <w:r>
        <w:rPr>
          <w:rFonts w:ascii="Calibri" w:hAnsi="Calibri" w:cs="Calibri"/>
          <w:b/>
          <w:bCs/>
          <w:color w:val="000000"/>
          <w:sz w:val="22"/>
          <w:szCs w:val="22"/>
          <w:lang w:val="es-PE"/>
        </w:rPr>
        <w:t xml:space="preserve">A la empresa, estudio o taller: </w:t>
      </w:r>
      <w:r>
        <w:rPr>
          <w:rFonts w:ascii="Calibri" w:hAnsi="Calibri" w:cs="Calibri"/>
          <w:color w:val="000000"/>
          <w:sz w:val="22"/>
          <w:szCs w:val="22"/>
          <w:lang w:val="es-PE"/>
        </w:rPr>
        <w:t xml:space="preserve">Se sugiere a la empresa cotizar el equipamiento crítico con al menos dos proveedores y fijar fechas de entrega con penalidad en las órdenes de compra.</w:t>
      </w:r>
    </w:p>
    <w:p>
      <w:pPr>
        <w:spacing w:before="0" w:after="80" w:line="360" w:lineRule="auto"/>
        <w:jc w:val="both"/>
      </w:pPr>
      <w:r>
        <w:rPr>
          <w:rFonts w:ascii="Calibri" w:hAnsi="Calibri" w:cs="Calibri"/>
          <w:b/>
          <w:bCs/>
          <w:color w:val="000000"/>
          <w:sz w:val="22"/>
          <w:szCs w:val="22"/>
          <w:lang w:val="es-PE"/>
        </w:rPr>
        <w:t xml:space="preserve">A los diseñadores de interiores y profesionales del rubro: </w:t>
      </w:r>
      <w:r>
        <w:rPr>
          <w:rFonts w:ascii="Calibri" w:hAnsi="Calibri" w:cs="Calibri"/>
          <w:color w:val="000000"/>
          <w:sz w:val="22"/>
          <w:szCs w:val="22"/>
          <w:lang w:val="es-PE"/>
        </w:rPr>
        <w:t xml:space="preserve">Se recomienda a los diseñadores de interiores realizar la remedición del local antes del anteproyecto y registrar las instalaciones existentes con fotografías referenciadas.</w:t>
      </w:r>
    </w:p>
    <w:p>
      <w:pPr>
        <w:spacing w:before="0" w:after="80" w:line="360" w:lineRule="auto"/>
        <w:jc w:val="both"/>
      </w:pPr>
      <w:r>
        <w:rPr>
          <w:rFonts w:ascii="Calibri" w:hAnsi="Calibri" w:cs="Calibri"/>
          <w:b/>
          <w:bCs/>
          <w:color w:val="000000"/>
          <w:sz w:val="22"/>
          <w:szCs w:val="22"/>
          <w:lang w:val="es-PE"/>
        </w:rPr>
        <w:t xml:space="preserve">A la academia (institutos y universidades): </w:t>
      </w:r>
      <w:r>
        <w:rPr>
          <w:rFonts w:ascii="Calibri" w:hAnsi="Calibri" w:cs="Calibri"/>
          <w:color w:val="000000"/>
          <w:sz w:val="22"/>
          <w:szCs w:val="22"/>
          <w:lang w:val="es-PE"/>
        </w:rPr>
        <w:t xml:space="preserve">Se sugiere al IDC incluir ejercicios de metrados y presupuesto por partidas en el Módulo III, con precios unitarios del mercado local.</w:t>
      </w:r>
    </w:p>
    <w:p>
      <w:pPr>
        <w:spacing w:before="480" w:after="60" w:line="276" w:lineRule="auto"/>
        <w:jc w:val="center"/>
      </w:pPr>
      <w:r>
        <w:rPr>
          <w:rFonts w:ascii="Calibri" w:hAnsi="Calibri" w:cs="Calibri"/>
          <w:i/>
          <w:iCs/>
          <w:color w:val="000000"/>
          <w:sz w:val="18"/>
          <w:szCs w:val="18"/>
          <w:lang w:val="es-PE"/>
        </w:rPr>
        <w:t xml:space="preserve">Instituto de Educación Superior Público «Diseño y Comunicación» — Lima, Perú — 2026</w:t>
      </w:r>
    </w:p>
    <w:sectPr w:rsidR="00C458A3" w:rsidSect="00034616">
      <w:headerReference w:type="default" r:id="rId9"/>
      <w:footerReference w:type="default" r:id="rId10"/>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38800" w14:textId="77777777" w:rsidR="00F6424A" w:rsidRDefault="00F6424A" w:rsidP="007A4BF0">
      <w:pPr>
        <w:spacing w:after="0" w:line="240" w:lineRule="auto"/>
      </w:pPr>
      <w:r>
        <w:separator/>
      </w:r>
    </w:p>
  </w:endnote>
  <w:endnote w:type="continuationSeparator" w:id="0">
    <w:p w14:paraId="5214107A" w14:textId="77777777" w:rsidR="00F6424A" w:rsidRDefault="00F6424A" w:rsidP="007A4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97104615"/>
      <w:docPartObj>
        <w:docPartGallery w:val="Page Numbers (Bottom of Page)"/>
        <w:docPartUnique/>
      </w:docPartObj>
    </w:sdtPr>
    <w:sdtEndPr>
      <w:rPr>
        <w:rFonts w:ascii="Times New Roman" w:hAnsi="Times New Roman"/>
        <w:color w:val="009C9D"/>
        <w:sz w:val="12"/>
        <w:szCs w:val="12"/>
      </w:rPr>
    </w:sdtEndPr>
    <w:sdtContent>
      <w:p w14:paraId="04C90DA8" w14:textId="77777777" w:rsidR="00A21C98" w:rsidRPr="001002C5" w:rsidRDefault="00A21C98">
        <w:pPr>
          <w:pStyle w:val="Piedepgina"/>
          <w:jc w:val="center"/>
          <w:rPr>
            <w:sz w:val="20"/>
            <w:szCs w:val="20"/>
          </w:rPr>
        </w:pPr>
        <w:r w:rsidRPr="001002C5">
          <w:rPr>
            <w:sz w:val="20"/>
            <w:szCs w:val="20"/>
          </w:rPr>
          <w:fldChar w:fldCharType="begin"/>
        </w:r>
        <w:r w:rsidRPr="001002C5">
          <w:rPr>
            <w:sz w:val="20"/>
            <w:szCs w:val="20"/>
          </w:rPr>
          <w:instrText>PAGE   \* MERGEFORMAT</w:instrText>
        </w:r>
        <w:r w:rsidRPr="001002C5">
          <w:rPr>
            <w:sz w:val="20"/>
            <w:szCs w:val="20"/>
          </w:rPr>
          <w:fldChar w:fldCharType="separate"/>
        </w:r>
        <w:r w:rsidRPr="001002C5">
          <w:rPr>
            <w:sz w:val="20"/>
            <w:szCs w:val="20"/>
            <w:lang w:val="es-ES"/>
          </w:rPr>
          <w:t>2</w:t>
        </w:r>
        <w:r w:rsidRPr="001002C5">
          <w:rPr>
            <w:sz w:val="20"/>
            <w:szCs w:val="20"/>
          </w:rPr>
          <w:fldChar w:fldCharType="end"/>
        </w:r>
      </w:p>
      <w:p w14:paraId="301D8B59" w14:textId="40E12DD2" w:rsidR="00A21C98" w:rsidRPr="0044175A" w:rsidRDefault="00A21C98" w:rsidP="007A4BF0">
        <w:pPr>
          <w:spacing w:after="0" w:line="240" w:lineRule="auto"/>
          <w:jc w:val="center"/>
          <w:rPr>
            <w:color w:val="009C9D"/>
            <w:sz w:val="12"/>
            <w:szCs w:val="12"/>
          </w:rPr>
        </w:pPr>
        <w:r w:rsidRPr="0044175A">
          <w:rPr>
            <w:rFonts w:ascii="Times New Roman" w:hAnsi="Times New Roman"/>
            <w:color w:val="009C9D"/>
            <w:sz w:val="12"/>
            <w:szCs w:val="12"/>
          </w:rPr>
          <w:t xml:space="preserve">PROGRAMA DE ESTUDIOS DE DISEÑO </w:t>
        </w:r>
        <w:r w:rsidR="0044175A" w:rsidRPr="0044175A">
          <w:rPr>
            <w:rFonts w:ascii="Times New Roman" w:hAnsi="Times New Roman"/>
            <w:color w:val="009C9D"/>
            <w:sz w:val="12"/>
            <w:szCs w:val="12"/>
          </w:rPr>
          <w:t>DE INTERIORES</w:t>
        </w:r>
      </w:p>
    </w:sdtContent>
  </w:sdt>
  <w:p w14:paraId="78779A56" w14:textId="77777777" w:rsidR="00A21C98" w:rsidRDefault="00A21C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A0B2E" w14:textId="77777777" w:rsidR="00F6424A" w:rsidRDefault="00F6424A" w:rsidP="007A4BF0">
      <w:pPr>
        <w:spacing w:after="0" w:line="240" w:lineRule="auto"/>
      </w:pPr>
      <w:r>
        <w:separator/>
      </w:r>
    </w:p>
  </w:footnote>
  <w:footnote w:type="continuationSeparator" w:id="0">
    <w:p w14:paraId="66C26712" w14:textId="77777777" w:rsidR="00F6424A" w:rsidRDefault="00F6424A" w:rsidP="007A4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C6C8D" w14:textId="77777777" w:rsidR="00A21C98" w:rsidRPr="0044175A" w:rsidRDefault="00A21C98" w:rsidP="007A4BF0">
    <w:pPr>
      <w:pStyle w:val="Encabezado"/>
      <w:jc w:val="center"/>
      <w:rPr>
        <w:rFonts w:ascii="Times New Roman" w:hAnsi="Times New Roman"/>
        <w:b/>
        <w:color w:val="009C9D"/>
        <w:sz w:val="12"/>
        <w:szCs w:val="12"/>
      </w:rPr>
    </w:pPr>
    <w:r w:rsidRPr="0044175A">
      <w:rPr>
        <w:rFonts w:ascii="Times New Roman" w:hAnsi="Times New Roman"/>
        <w:b/>
        <w:color w:val="009C9D"/>
        <w:sz w:val="12"/>
        <w:szCs w:val="12"/>
      </w:rPr>
      <w:t>INSTITUTO DE EDUCACIÓN SUPERIOR PÚBLICO “DISEÑO Y COMUNICACIÓN”</w:t>
    </w:r>
  </w:p>
  <w:p w14:paraId="29FD3531" w14:textId="77777777" w:rsidR="00A21C98" w:rsidRPr="001002C5" w:rsidRDefault="00A21C98" w:rsidP="007A4BF0">
    <w:pPr>
      <w:spacing w:line="360" w:lineRule="auto"/>
      <w:jc w:val="center"/>
      <w:rPr>
        <w:sz w:val="12"/>
        <w:szCs w:val="12"/>
      </w:rPr>
    </w:pPr>
    <w:r w:rsidRPr="001002C5">
      <w:rPr>
        <w:rFonts w:ascii="Times New Roman" w:hAnsi="Times New Roman"/>
        <w:b/>
        <w:color w:val="808080" w:themeColor="background1" w:themeShade="80"/>
        <w:sz w:val="12"/>
        <w:szCs w:val="12"/>
      </w:rPr>
      <w:t>EXAMEN DE SUFICIENCIA PROFESIONAL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22481114">
    <w:abstractNumId w:val="8"/>
  </w:num>
  <w:num w:numId="2" w16cid:durableId="1316950573">
    <w:abstractNumId w:val="6"/>
  </w:num>
  <w:num w:numId="3" w16cid:durableId="306980817">
    <w:abstractNumId w:val="5"/>
  </w:num>
  <w:num w:numId="4" w16cid:durableId="391581301">
    <w:abstractNumId w:val="4"/>
  </w:num>
  <w:num w:numId="5" w16cid:durableId="1556699803">
    <w:abstractNumId w:val="7"/>
  </w:num>
  <w:num w:numId="6" w16cid:durableId="955794869">
    <w:abstractNumId w:val="3"/>
  </w:num>
  <w:num w:numId="7" w16cid:durableId="1819372013">
    <w:abstractNumId w:val="2"/>
  </w:num>
  <w:num w:numId="8" w16cid:durableId="759637779">
    <w:abstractNumId w:val="1"/>
  </w:num>
  <w:num w:numId="9" w16cid:durableId="1205020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736"/>
    <w:rsid w:val="001002C5"/>
    <w:rsid w:val="001119F3"/>
    <w:rsid w:val="0015074B"/>
    <w:rsid w:val="00246965"/>
    <w:rsid w:val="0029639D"/>
    <w:rsid w:val="002F11E3"/>
    <w:rsid w:val="00326F90"/>
    <w:rsid w:val="00350880"/>
    <w:rsid w:val="0044175A"/>
    <w:rsid w:val="00476D73"/>
    <w:rsid w:val="005C5668"/>
    <w:rsid w:val="0061496C"/>
    <w:rsid w:val="006D4287"/>
    <w:rsid w:val="007A4BF0"/>
    <w:rsid w:val="00806971"/>
    <w:rsid w:val="00942F94"/>
    <w:rsid w:val="00956492"/>
    <w:rsid w:val="00A21C98"/>
    <w:rsid w:val="00A313B3"/>
    <w:rsid w:val="00AA1D8D"/>
    <w:rsid w:val="00AB63B8"/>
    <w:rsid w:val="00B47730"/>
    <w:rsid w:val="00C458A3"/>
    <w:rsid w:val="00CB0664"/>
    <w:rsid w:val="00E47C46"/>
    <w:rsid w:val="00F371D6"/>
    <w:rsid w:val="00F6424A"/>
    <w:rsid w:val="00FC51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3D1B57"/>
  <w14:defaultImageDpi w14:val="300"/>
  <w15:docId w15:val="{64890318-EA0B-49D6-BE0D-0FCF16CD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1903</Words>
  <Characters>10472</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académico ESP — Diseño de Interiores</dc:title>
  <dc:subject/>
  <dc:creator>python-docx</dc:creator>
  <cp:keywords/>
  <dc:description>generated by python-docx</dc:description>
  <cp:lastModifiedBy>Alumno - MARIO RAFAEL QUIROZ MARTINEZ</cp:lastModifiedBy>
  <cp:revision>2</cp:revision>
  <dcterms:created xsi:type="dcterms:W3CDTF">2026-06-08T06:21:00Z</dcterms:created>
  <dcterms:modified xsi:type="dcterms:W3CDTF">2026-06-08T06:21:00Z</dcterms:modified>
  <cp:category/>
</cp:coreProperties>
</file>