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/>
          <w:b/>
          <w:caps w:val="0"/>
          <w:color w:val="2F5496"/>
          <w:sz w:val="48"/>
          <w:spacing w:val="40"/>
        </w:rPr>
        <w:t>MANIT KHERA</w:t>
      </w:r>
    </w:p>
    <w:p>
      <w:pPr>
        <w:spacing w:after="0" w:before="0" w:line="240" w:lineRule="auto"/>
        <w:jc w:val="center"/>
      </w:pPr>
      <w:r>
        <w:rPr>
          <w:rFonts w:ascii="Calibri" w:hAnsi="Calibri"/>
          <w:b w:val="0"/>
          <w:caps w:val="0"/>
          <w:color w:val="000000"/>
          <w:sz w:val="19"/>
        </w:rPr>
        <w:t>0412 761 206  |  manitkhera26@gmail.com</w:t>
      </w:r>
    </w:p>
    <w:p>
      <w:pPr>
        <w:spacing w:after="200" w:before="0" w:line="240" w:lineRule="auto"/>
        <w:jc w:val="center"/>
        <w:pBdr>
          <w:bottom w:val="single" w:sz="6" w:space="1" w:color="2F5496"/>
        </w:pBdr>
      </w:pPr>
      <w:r>
        <w:rPr>
          <w:rFonts w:ascii="Calibri" w:hAnsi="Calibri"/>
          <w:b w:val="0"/>
          <w:caps w:val="0"/>
          <w:color w:val="000000"/>
          <w:sz w:val="19"/>
        </w:rPr>
        <w:t>Blackburn South, VIC  |  linkedin.com/in/manit-khera-603957252</w:t>
      </w:r>
    </w:p>
    <w:p>
      <w:pPr>
        <w:spacing w:after="200" w:before="120" w:line="240" w:lineRule="auto"/>
      </w:pPr>
      <w:r>
        <w:rPr>
          <w:rFonts w:ascii="Calibri" w:hAnsi="Calibri"/>
          <w:b w:val="0"/>
          <w:caps w:val="0"/>
          <w:color w:val="000000"/>
          <w:sz w:val="21"/>
        </w:rPr>
        <w:t>26 July 2026</w:t>
      </w:r>
    </w:p>
    <w:p>
      <w:pPr>
        <w:spacing w:after="0" w:before="0" w:line="252" w:lineRule="auto"/>
      </w:pPr>
      <w:r>
        <w:rPr>
          <w:rFonts w:ascii="Calibri" w:hAnsi="Calibri"/>
          <w:b w:val="0"/>
          <w:caps w:val="0"/>
          <w:color w:val="000000"/>
          <w:sz w:val="21"/>
        </w:rPr>
        <w:t>Hiring Team</w:t>
      </w:r>
    </w:p>
    <w:p>
      <w:pPr>
        <w:spacing w:after="0" w:before="0" w:line="252" w:lineRule="auto"/>
      </w:pPr>
      <w:r>
        <w:rPr>
          <w:rFonts w:ascii="Calibri" w:hAnsi="Calibri"/>
          <w:b w:val="0"/>
          <w:caps w:val="0"/>
          <w:color w:val="000000"/>
          <w:sz w:val="21"/>
        </w:rPr>
        <w:t>Mill Software</w:t>
      </w:r>
    </w:p>
    <w:p>
      <w:pPr>
        <w:spacing w:after="0" w:before="0" w:line="252" w:lineRule="auto"/>
      </w:pPr>
      <w:r>
        <w:rPr>
          <w:rFonts w:ascii="Calibri" w:hAnsi="Calibri"/>
          <w:b w:val="0"/>
          <w:caps w:val="0"/>
          <w:color w:val="000000"/>
          <w:sz w:val="21"/>
        </w:rPr>
        <w:t>PO Box 4545</w:t>
      </w:r>
    </w:p>
    <w:p>
      <w:pPr>
        <w:spacing w:after="0" w:before="0" w:line="252" w:lineRule="auto"/>
      </w:pPr>
      <w:r>
        <w:rPr>
          <w:rFonts w:ascii="Calibri" w:hAnsi="Calibri"/>
          <w:b w:val="0"/>
          <w:caps w:val="0"/>
          <w:color w:val="000000"/>
          <w:sz w:val="21"/>
        </w:rPr>
        <w:t>Central Park VIC 3145</w:t>
      </w:r>
    </w:p>
    <w:p>
      <w:pPr>
        <w:spacing w:after="200" w:before="240" w:line="240" w:lineRule="auto"/>
      </w:pPr>
      <w:r>
        <w:rPr>
          <w:rFonts w:ascii="Calibri" w:hAnsi="Calibri"/>
          <w:b/>
          <w:caps w:val="0"/>
          <w:color w:val="2F5496"/>
          <w:sz w:val="21"/>
        </w:rPr>
        <w:t>Re: Application — Software Engineering (Embedded / Backend)</w:t>
      </w:r>
    </w:p>
    <w:p>
      <w:pPr>
        <w:spacing w:after="160" w:before="0" w:line="240" w:lineRule="auto"/>
      </w:pPr>
      <w:r>
        <w:rPr>
          <w:rFonts w:ascii="Calibri" w:hAnsi="Calibri"/>
          <w:b w:val="0"/>
          <w:caps w:val="0"/>
          <w:color w:val="000000"/>
          <w:sz w:val="21"/>
        </w:rPr>
        <w:t>Dear Hiring Team,</w:t>
      </w:r>
    </w:p>
    <w:p>
      <w:pPr>
        <w:spacing w:after="160" w:before="0" w:line="254" w:lineRule="auto"/>
      </w:pPr>
      <w:r>
        <w:rPr>
          <w:rFonts w:ascii="Calibri" w:hAnsi="Calibri"/>
          <w:b w:val="0"/>
          <w:caps w:val="0"/>
          <w:color w:val="000000"/>
          <w:sz w:val="21"/>
        </w:rPr>
        <w:t>I am writing to ask to be considered for an internship or part-time software engineering position with Mill Software, having read on your careers page that you regularly take on new staff across your core service disciplines. I am a Software Engineering (Honours) student at Deakin University, based locally in Blackburn South, and I would value the opportunity to begin my career with your team.</w:t>
      </w:r>
    </w:p>
    <w:p>
      <w:pPr>
        <w:spacing w:after="160" w:before="0" w:line="254" w:lineRule="auto"/>
      </w:pPr>
      <w:r>
        <w:rPr>
          <w:rFonts w:ascii="Calibri" w:hAnsi="Calibri"/>
          <w:b w:val="0"/>
          <w:caps w:val="0"/>
          <w:color w:val="000000"/>
          <w:sz w:val="21"/>
        </w:rPr>
        <w:t>What drew me to Mill Software is the depth of the work itself. Spending time across your site, the NetTester suite stands out as something genuinely difficult and genuinely useful — Warrior Probe detecting faults and degradation across a network footprint before customers ever feel them, Defender Probe qualifying triple-play services across fibre, satellite and wireless, and InSite turning site commissioning from a paper-based process into a guided one that measurably reduces failure rates and revisits. That NetTester Web delivers carrier-grade measurement with IPv6 and NAT64 support tells me a great deal about the engineering standard behind it. Building tools that operators trust enough to run their rollouts on is a high bar, and fifteen years of doing it across telecommunications, consumer electronics and defence is not something many firms can claim.</w:t>
      </w:r>
    </w:p>
    <w:p>
      <w:pPr>
        <w:spacing w:after="160" w:before="0" w:line="254" w:lineRule="auto"/>
      </w:pPr>
      <w:r>
        <w:rPr>
          <w:rFonts w:ascii="Calibri" w:hAnsi="Calibri"/>
          <w:b w:val="0"/>
          <w:caps w:val="0"/>
          <w:color w:val="000000"/>
          <w:sz w:val="21"/>
        </w:rPr>
        <w:t>I would be applying to learn rather than to arrive finished. My interest sits exactly where your core competency does — embedded systems and Linux on ARM-based devices, and the backend services that sit above them — and the chance to develop that under engineers who build it professionally would expand my knowledge far beyond what university projects can offer.</w:t>
      </w:r>
    </w:p>
    <w:p>
      <w:pPr>
        <w:spacing w:after="160" w:before="0" w:line="254" w:lineRule="auto"/>
      </w:pPr>
      <w:r>
        <w:rPr>
          <w:rFonts w:ascii="Calibri" w:hAnsi="Calibri"/>
          <w:b w:val="0"/>
          <w:caps w:val="0"/>
          <w:color w:val="000000"/>
          <w:sz w:val="21"/>
        </w:rPr>
        <w:t>By way of background, my coursework has given me a working foundation to build on: C and C++ on microcontrollers with I²C sensor interfacing, a Raspberry Pi service deployed under systemd with MQTT telemetry, and backend development in C# and ASP.NET Core with PostgreSQL. These are student-scale projects, but they reflect where my interest genuinely lies and the standard I hold myself to — I achieved 100 in Backend Development, 100 in Data Structures and Algorithms, and 93 in Embedded Systems, and one project was selected for showcase at Deakin Open Day.</w:t>
      </w:r>
    </w:p>
    <w:p>
      <w:pPr>
        <w:spacing w:after="160" w:before="0" w:line="254" w:lineRule="auto"/>
      </w:pPr>
      <w:r>
        <w:rPr>
          <w:rFonts w:ascii="Calibri" w:hAnsi="Calibri"/>
          <w:b w:val="0"/>
          <w:caps w:val="0"/>
          <w:color w:val="000000"/>
          <w:sz w:val="21"/>
        </w:rPr>
        <w:t>In short, I offer a solid technical grounding, a strong work ethic, and real enthusiasm for the domain Mill Software works in — and I am eager to be taught. I would be grateful for the chance to contribute in whatever capacity is useful to your team. Thank you sincerely for taking the time to consider my application, and I look forward to the possibility of speaking with you at interview.</w:t>
      </w:r>
    </w:p>
    <w:p>
      <w:pPr>
        <w:spacing w:after="320" w:before="80" w:line="240" w:lineRule="auto"/>
      </w:pPr>
      <w:r>
        <w:rPr>
          <w:rFonts w:ascii="Calibri" w:hAnsi="Calibri"/>
          <w:b w:val="0"/>
          <w:caps w:val="0"/>
          <w:color w:val="000000"/>
          <w:sz w:val="21"/>
        </w:rPr>
        <w:t>Yours sincerely,</w:t>
      </w:r>
    </w:p>
    <w:p>
      <w:pPr>
        <w:spacing w:after="0" w:before="0" w:line="240" w:lineRule="auto"/>
      </w:pPr>
      <w:r>
        <w:rPr>
          <w:rFonts w:ascii="Calibri" w:hAnsi="Calibri"/>
          <w:b/>
          <w:caps w:val="0"/>
          <w:color w:val="2F5496"/>
          <w:sz w:val="22"/>
        </w:rPr>
        <w:t>Manit Khera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