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654E" w14:textId="77777777" w:rsidR="00C8135A" w:rsidRPr="00D6178F" w:rsidRDefault="00173518" w:rsidP="00A142E1">
      <w:pPr>
        <w:ind w:left="2832" w:hanging="2832"/>
        <w:jc w:val="center"/>
        <w:rPr>
          <w:b/>
          <w:u w:val="single"/>
        </w:rPr>
      </w:pPr>
      <w:bookmarkStart w:id="0" w:name="_Toc273535916"/>
      <w:r>
        <w:rPr>
          <w:b/>
        </w:rPr>
        <w:t>Propuesta inicial</w:t>
      </w:r>
    </w:p>
    <w:p w14:paraId="0E93248D" w14:textId="77777777" w:rsidR="00C8135A" w:rsidRDefault="00C8135A" w:rsidP="00A142E1">
      <w:pPr>
        <w:ind w:left="2832" w:hanging="2832"/>
        <w:rPr>
          <w:b/>
        </w:rPr>
      </w:pPr>
    </w:p>
    <w:p w14:paraId="3DEDE614" w14:textId="77777777" w:rsidR="00010FA2" w:rsidRPr="0052116B" w:rsidRDefault="00A40D75" w:rsidP="00A142E1">
      <w:pPr>
        <w:pStyle w:val="Ttulo3"/>
        <w:spacing w:before="0" w:after="0"/>
        <w:rPr>
          <w:rFonts w:ascii="Arial" w:hAnsi="Arial" w:cs="Arial"/>
          <w:sz w:val="22"/>
          <w:szCs w:val="22"/>
        </w:rPr>
      </w:pPr>
      <w:bookmarkStart w:id="1" w:name="_Toc427767090"/>
      <w:bookmarkStart w:id="2" w:name="_Toc159843083"/>
      <w:bookmarkEnd w:id="0"/>
      <w:r w:rsidRPr="0052116B">
        <w:rPr>
          <w:rFonts w:ascii="Arial" w:hAnsi="Arial" w:cs="Arial"/>
          <w:sz w:val="22"/>
          <w:szCs w:val="22"/>
        </w:rPr>
        <w:t>Cronograma</w:t>
      </w:r>
      <w:bookmarkEnd w:id="1"/>
    </w:p>
    <w:p w14:paraId="6AA05F97" w14:textId="77777777" w:rsidR="00A40D75" w:rsidRDefault="00A40D75" w:rsidP="00A142E1">
      <w:bookmarkStart w:id="3" w:name="_Toc159843084"/>
      <w:bookmarkEnd w:id="2"/>
    </w:p>
    <w:tbl>
      <w:tblPr>
        <w:tblStyle w:val="Tablaconcuadrcula"/>
        <w:tblW w:w="0" w:type="auto"/>
        <w:tblLook w:val="04A0" w:firstRow="1" w:lastRow="0" w:firstColumn="1" w:lastColumn="0" w:noHBand="0" w:noVBand="1"/>
      </w:tblPr>
      <w:tblGrid>
        <w:gridCol w:w="3783"/>
        <w:gridCol w:w="1261"/>
        <w:gridCol w:w="1261"/>
        <w:gridCol w:w="1261"/>
        <w:gridCol w:w="1262"/>
      </w:tblGrid>
      <w:tr w:rsidR="00ED3D40" w14:paraId="2C0C8946" w14:textId="77777777" w:rsidTr="002770C6">
        <w:tc>
          <w:tcPr>
            <w:tcW w:w="3783" w:type="dxa"/>
            <w:vMerge w:val="restart"/>
            <w:shd w:val="clear" w:color="auto" w:fill="D9D9D9" w:themeFill="background1" w:themeFillShade="D9"/>
          </w:tcPr>
          <w:p w14:paraId="25801D77" w14:textId="77777777" w:rsidR="00ED3D40" w:rsidRPr="00ED3D40" w:rsidRDefault="00ED3D40" w:rsidP="00ED3D40">
            <w:pPr>
              <w:spacing w:before="240"/>
              <w:jc w:val="center"/>
              <w:rPr>
                <w:b/>
                <w:sz w:val="22"/>
                <w:szCs w:val="22"/>
              </w:rPr>
            </w:pPr>
            <w:r w:rsidRPr="00ED3D40">
              <w:rPr>
                <w:b/>
                <w:sz w:val="22"/>
                <w:szCs w:val="22"/>
              </w:rPr>
              <w:t>Actividad</w:t>
            </w:r>
          </w:p>
        </w:tc>
        <w:tc>
          <w:tcPr>
            <w:tcW w:w="5045" w:type="dxa"/>
            <w:gridSpan w:val="4"/>
            <w:shd w:val="clear" w:color="auto" w:fill="D9D9D9" w:themeFill="background1" w:themeFillShade="D9"/>
          </w:tcPr>
          <w:p w14:paraId="3EF73081" w14:textId="77777777" w:rsidR="00ED3D40" w:rsidRPr="00ED3D40" w:rsidRDefault="00ED3D40" w:rsidP="002770C6">
            <w:pPr>
              <w:jc w:val="center"/>
              <w:rPr>
                <w:b/>
                <w:sz w:val="22"/>
                <w:szCs w:val="22"/>
              </w:rPr>
            </w:pPr>
            <w:r w:rsidRPr="00ED3D40">
              <w:rPr>
                <w:b/>
                <w:sz w:val="22"/>
                <w:szCs w:val="22"/>
              </w:rPr>
              <w:t>Visitas</w:t>
            </w:r>
          </w:p>
        </w:tc>
      </w:tr>
      <w:tr w:rsidR="00ED3D40" w14:paraId="0DE8D5BF" w14:textId="77777777" w:rsidTr="00ED3D40">
        <w:tc>
          <w:tcPr>
            <w:tcW w:w="3783" w:type="dxa"/>
            <w:vMerge/>
          </w:tcPr>
          <w:p w14:paraId="77FB160C" w14:textId="77777777" w:rsidR="00ED3D40" w:rsidRDefault="00ED3D40" w:rsidP="00A142E1"/>
        </w:tc>
        <w:tc>
          <w:tcPr>
            <w:tcW w:w="1261" w:type="dxa"/>
            <w:shd w:val="clear" w:color="auto" w:fill="F2F2F2" w:themeFill="background1" w:themeFillShade="F2"/>
          </w:tcPr>
          <w:p w14:paraId="7689BF78" w14:textId="77777777" w:rsidR="00ED3D40" w:rsidRPr="00ED3D40" w:rsidRDefault="00ED3D40" w:rsidP="00ED3D40">
            <w:pPr>
              <w:jc w:val="center"/>
              <w:rPr>
                <w:b/>
                <w:sz w:val="20"/>
              </w:rPr>
            </w:pPr>
          </w:p>
        </w:tc>
        <w:tc>
          <w:tcPr>
            <w:tcW w:w="1261" w:type="dxa"/>
            <w:shd w:val="clear" w:color="auto" w:fill="F2F2F2" w:themeFill="background1" w:themeFillShade="F2"/>
          </w:tcPr>
          <w:p w14:paraId="1D835B34" w14:textId="77777777" w:rsidR="00ED3D40" w:rsidRPr="00ED3D40" w:rsidRDefault="00ED3D40" w:rsidP="00ED3D40">
            <w:pPr>
              <w:jc w:val="center"/>
              <w:rPr>
                <w:b/>
                <w:sz w:val="20"/>
              </w:rPr>
            </w:pPr>
          </w:p>
        </w:tc>
        <w:tc>
          <w:tcPr>
            <w:tcW w:w="1261" w:type="dxa"/>
            <w:shd w:val="clear" w:color="auto" w:fill="F2F2F2" w:themeFill="background1" w:themeFillShade="F2"/>
          </w:tcPr>
          <w:p w14:paraId="534E9010" w14:textId="77777777" w:rsidR="00ED3D40" w:rsidRPr="00ED3D40" w:rsidRDefault="00ED3D40" w:rsidP="00ED3D40">
            <w:pPr>
              <w:jc w:val="center"/>
              <w:rPr>
                <w:b/>
                <w:sz w:val="20"/>
              </w:rPr>
            </w:pPr>
          </w:p>
        </w:tc>
        <w:tc>
          <w:tcPr>
            <w:tcW w:w="1262" w:type="dxa"/>
            <w:shd w:val="clear" w:color="auto" w:fill="F2F2F2" w:themeFill="background1" w:themeFillShade="F2"/>
          </w:tcPr>
          <w:p w14:paraId="07F99C2B" w14:textId="77777777" w:rsidR="00ED3D40" w:rsidRPr="00ED3D40" w:rsidRDefault="00ED3D40" w:rsidP="00ED3D40">
            <w:pPr>
              <w:jc w:val="center"/>
              <w:rPr>
                <w:b/>
                <w:sz w:val="20"/>
              </w:rPr>
            </w:pPr>
          </w:p>
        </w:tc>
      </w:tr>
      <w:tr w:rsidR="002770C6" w:rsidRPr="00ED3D40" w14:paraId="0E774D44" w14:textId="77777777" w:rsidTr="0050491D">
        <w:tc>
          <w:tcPr>
            <w:tcW w:w="3783" w:type="dxa"/>
          </w:tcPr>
          <w:p w14:paraId="385CB5BD" w14:textId="77777777" w:rsidR="002770C6" w:rsidRPr="00ED3D40" w:rsidRDefault="002770C6" w:rsidP="00A142E1">
            <w:pPr>
              <w:rPr>
                <w:sz w:val="22"/>
                <w:szCs w:val="22"/>
              </w:rPr>
            </w:pPr>
          </w:p>
        </w:tc>
        <w:tc>
          <w:tcPr>
            <w:tcW w:w="1261" w:type="dxa"/>
          </w:tcPr>
          <w:p w14:paraId="57B4D3B9" w14:textId="77777777" w:rsidR="002770C6" w:rsidRPr="00ED3D40" w:rsidRDefault="002770C6" w:rsidP="00A142E1">
            <w:pPr>
              <w:rPr>
                <w:sz w:val="22"/>
                <w:szCs w:val="22"/>
              </w:rPr>
            </w:pPr>
          </w:p>
        </w:tc>
        <w:tc>
          <w:tcPr>
            <w:tcW w:w="1261" w:type="dxa"/>
          </w:tcPr>
          <w:p w14:paraId="4F2B45A9" w14:textId="77777777" w:rsidR="002770C6" w:rsidRPr="00ED3D40" w:rsidRDefault="002770C6" w:rsidP="00A142E1">
            <w:pPr>
              <w:rPr>
                <w:sz w:val="22"/>
                <w:szCs w:val="22"/>
              </w:rPr>
            </w:pPr>
          </w:p>
        </w:tc>
        <w:tc>
          <w:tcPr>
            <w:tcW w:w="1261" w:type="dxa"/>
          </w:tcPr>
          <w:p w14:paraId="4A1C3BFC" w14:textId="77777777" w:rsidR="002770C6" w:rsidRPr="00ED3D40" w:rsidRDefault="002770C6" w:rsidP="00A142E1">
            <w:pPr>
              <w:rPr>
                <w:sz w:val="22"/>
                <w:szCs w:val="22"/>
              </w:rPr>
            </w:pPr>
          </w:p>
        </w:tc>
        <w:tc>
          <w:tcPr>
            <w:tcW w:w="1262" w:type="dxa"/>
          </w:tcPr>
          <w:p w14:paraId="38361959" w14:textId="77777777" w:rsidR="002770C6" w:rsidRPr="00ED3D40" w:rsidRDefault="002770C6" w:rsidP="00A142E1">
            <w:pPr>
              <w:rPr>
                <w:sz w:val="22"/>
                <w:szCs w:val="22"/>
              </w:rPr>
            </w:pPr>
          </w:p>
        </w:tc>
      </w:tr>
      <w:tr w:rsidR="002770C6" w:rsidRPr="00ED3D40" w14:paraId="6A499A39" w14:textId="77777777" w:rsidTr="0050491D">
        <w:tc>
          <w:tcPr>
            <w:tcW w:w="3783" w:type="dxa"/>
          </w:tcPr>
          <w:p w14:paraId="11DBECB1" w14:textId="77777777" w:rsidR="002770C6" w:rsidRPr="00ED3D40" w:rsidRDefault="002770C6" w:rsidP="00A142E1">
            <w:pPr>
              <w:rPr>
                <w:sz w:val="22"/>
                <w:szCs w:val="22"/>
              </w:rPr>
            </w:pPr>
          </w:p>
        </w:tc>
        <w:tc>
          <w:tcPr>
            <w:tcW w:w="1261" w:type="dxa"/>
          </w:tcPr>
          <w:p w14:paraId="3D14049D" w14:textId="77777777" w:rsidR="002770C6" w:rsidRPr="00ED3D40" w:rsidRDefault="002770C6" w:rsidP="00A142E1">
            <w:pPr>
              <w:rPr>
                <w:sz w:val="22"/>
                <w:szCs w:val="22"/>
              </w:rPr>
            </w:pPr>
          </w:p>
        </w:tc>
        <w:tc>
          <w:tcPr>
            <w:tcW w:w="1261" w:type="dxa"/>
          </w:tcPr>
          <w:p w14:paraId="4401CB5C" w14:textId="77777777" w:rsidR="002770C6" w:rsidRPr="00ED3D40" w:rsidRDefault="002770C6" w:rsidP="00A142E1">
            <w:pPr>
              <w:rPr>
                <w:sz w:val="22"/>
                <w:szCs w:val="22"/>
              </w:rPr>
            </w:pPr>
          </w:p>
        </w:tc>
        <w:tc>
          <w:tcPr>
            <w:tcW w:w="1261" w:type="dxa"/>
          </w:tcPr>
          <w:p w14:paraId="13E35779" w14:textId="77777777" w:rsidR="002770C6" w:rsidRPr="00ED3D40" w:rsidRDefault="002770C6" w:rsidP="00A142E1">
            <w:pPr>
              <w:rPr>
                <w:sz w:val="22"/>
                <w:szCs w:val="22"/>
              </w:rPr>
            </w:pPr>
          </w:p>
        </w:tc>
        <w:tc>
          <w:tcPr>
            <w:tcW w:w="1262" w:type="dxa"/>
          </w:tcPr>
          <w:p w14:paraId="139F88A3" w14:textId="77777777" w:rsidR="002770C6" w:rsidRPr="00ED3D40" w:rsidRDefault="002770C6" w:rsidP="00A142E1">
            <w:pPr>
              <w:rPr>
                <w:sz w:val="22"/>
                <w:szCs w:val="22"/>
              </w:rPr>
            </w:pPr>
          </w:p>
        </w:tc>
      </w:tr>
    </w:tbl>
    <w:p w14:paraId="24AE61B6" w14:textId="77777777" w:rsidR="002770C6" w:rsidRDefault="002770C6" w:rsidP="00A142E1"/>
    <w:p w14:paraId="50E75743" w14:textId="77777777" w:rsidR="00173518" w:rsidRPr="00D6178F" w:rsidRDefault="00173518" w:rsidP="00A142E1">
      <w:pPr>
        <w:rPr>
          <w:u w:val="single"/>
        </w:rPr>
      </w:pPr>
    </w:p>
    <w:bookmarkEnd w:id="3"/>
    <w:p w14:paraId="560B7E81" w14:textId="77777777" w:rsidR="00173518" w:rsidRPr="0052116B" w:rsidRDefault="00173518" w:rsidP="00173518">
      <w:pPr>
        <w:rPr>
          <w:b/>
          <w:sz w:val="22"/>
        </w:rPr>
      </w:pPr>
      <w:r w:rsidRPr="0052116B">
        <w:rPr>
          <w:b/>
          <w:sz w:val="22"/>
        </w:rPr>
        <w:t>Título</w:t>
      </w:r>
      <w:r w:rsidRPr="0052116B">
        <w:rPr>
          <w:b/>
          <w:sz w:val="22"/>
        </w:rPr>
        <w:tab/>
      </w:r>
      <w:r w:rsidRPr="0052116B">
        <w:rPr>
          <w:b/>
          <w:sz w:val="22"/>
        </w:rPr>
        <w:tab/>
      </w:r>
      <w:r w:rsidRPr="0052116B">
        <w:rPr>
          <w:b/>
          <w:sz w:val="22"/>
        </w:rPr>
        <w:tab/>
      </w:r>
      <w:r w:rsidRPr="0052116B">
        <w:rPr>
          <w:b/>
          <w:sz w:val="22"/>
        </w:rPr>
        <w:tab/>
      </w:r>
      <w:r w:rsidRPr="0052116B">
        <w:rPr>
          <w:b/>
          <w:sz w:val="22"/>
        </w:rPr>
        <w:tab/>
      </w:r>
    </w:p>
    <w:p w14:paraId="1200FA8D" w14:textId="309FEC7B" w:rsidR="00173518" w:rsidRPr="0052116B" w:rsidRDefault="004E737F" w:rsidP="00173518">
      <w:pPr>
        <w:ind w:left="2832" w:hanging="2832"/>
        <w:rPr>
          <w:sz w:val="22"/>
        </w:rPr>
      </w:pPr>
      <w:r>
        <w:rPr>
          <w:sz w:val="22"/>
        </w:rPr>
        <w:t>Estudio doble ciego, controlado con placebo, para evaluar los efectos de la bexagliflozina en la hemoglobina A1c en pacientes con diabetes tipo 2 y mayor riesgo de eventos cardiovasculares adversos.</w:t>
      </w:r>
    </w:p>
    <w:p w14:paraId="4A98A4FA" w14:textId="77777777" w:rsidR="00173518" w:rsidRPr="0052116B" w:rsidRDefault="00173518" w:rsidP="00173518">
      <w:pPr>
        <w:pStyle w:val="Ttulo3"/>
        <w:spacing w:before="0" w:after="0"/>
        <w:rPr>
          <w:rFonts w:ascii="Arial" w:hAnsi="Arial" w:cs="Arial"/>
          <w:sz w:val="22"/>
          <w:szCs w:val="22"/>
        </w:rPr>
      </w:pPr>
      <w:bookmarkStart w:id="4" w:name="_Toc427767086"/>
      <w:bookmarkStart w:id="5" w:name="_Toc350262343"/>
      <w:r w:rsidRPr="0052116B">
        <w:rPr>
          <w:rFonts w:ascii="Arial" w:hAnsi="Arial" w:cs="Arial"/>
          <w:sz w:val="22"/>
          <w:szCs w:val="22"/>
        </w:rPr>
        <w:t>Diseño</w:t>
      </w:r>
      <w:bookmarkEnd w:id="4"/>
      <w:r w:rsidRPr="0052116B">
        <w:rPr>
          <w:rFonts w:ascii="Arial" w:hAnsi="Arial" w:cs="Arial"/>
          <w:sz w:val="22"/>
          <w:szCs w:val="22"/>
        </w:rPr>
        <w:t xml:space="preserve"> </w:t>
      </w:r>
      <w:bookmarkEnd w:id="5"/>
    </w:p>
    <w:p w14:paraId="5CFDD5AC" w14:textId="376EE3F6" w:rsidR="00173518" w:rsidRPr="0052116B" w:rsidRDefault="004E737F" w:rsidP="004E737F">
      <w:pPr>
        <w:ind w:left="2832" w:hanging="2832"/>
        <w:rPr>
          <w:sz w:val="22"/>
        </w:rPr>
      </w:pPr>
      <w:r>
        <w:rPr>
          <w:sz w:val="22"/>
        </w:rPr>
        <w:t>ads</w:t>
      </w:r>
    </w:p>
    <w:p w14:paraId="10FB12EF" w14:textId="77777777" w:rsidR="00173518" w:rsidRPr="0052116B" w:rsidRDefault="00173518" w:rsidP="00173518">
      <w:pPr>
        <w:rPr>
          <w:rFonts w:eastAsia="Times New Roman" w:cs="Arial"/>
          <w:b/>
          <w:bCs/>
          <w:sz w:val="22"/>
        </w:rPr>
      </w:pPr>
      <w:r w:rsidRPr="0052116B">
        <w:rPr>
          <w:rFonts w:eastAsia="Times New Roman" w:cs="Arial"/>
          <w:b/>
          <w:bCs/>
          <w:sz w:val="22"/>
        </w:rPr>
        <w:t>Grupo de estudio</w:t>
      </w:r>
    </w:p>
    <w:p w14:paraId="44AB5E2A" w14:textId="57BE3155" w:rsidR="006E4298" w:rsidRPr="006E4298" w:rsidRDefault="00173518" w:rsidP="006E4298">
      <w:pPr>
        <w:pStyle w:val="Ttulo4"/>
        <w:spacing w:before="0" w:after="0"/>
        <w:ind w:left="567"/>
        <w:rPr>
          <w:rFonts w:ascii="Arial" w:hAnsi="Arial" w:cs="Arial"/>
          <w:sz w:val="22"/>
          <w:szCs w:val="22"/>
        </w:rPr>
      </w:pPr>
      <w:r w:rsidRPr="0052116B">
        <w:rPr>
          <w:rFonts w:ascii="Arial" w:hAnsi="Arial" w:cs="Arial"/>
          <w:sz w:val="22"/>
          <w:szCs w:val="22"/>
        </w:rPr>
        <w:t>Criterios de inclusión</w:t>
      </w:r>
    </w:p>
    <w:p w14:paraId="51731259" w14:textId="6C9D9F79" w:rsidR="00173518" w:rsidRPr="0052116B" w:rsidRDefault="00D00641" w:rsidP="00173518">
      <w:pPr>
        <w:pStyle w:val="Prrafodelista"/>
        <w:widowControl w:val="0"/>
        <w:numPr>
          <w:ilvl w:val="0"/>
          <w:numId w:val="16"/>
        </w:numPr>
        <w:tabs>
          <w:tab w:val="left" w:pos="567"/>
        </w:tabs>
        <w:rPr>
          <w:rFonts w:eastAsia="Times New Roman" w:cs="Arial"/>
          <w:kern w:val="28"/>
          <w:sz w:val="22"/>
          <w:lang w:val="es-ES_tradnl" w:eastAsia="es-ES_tradnl"/>
        </w:rPr>
      </w:pPr>
      <w:r>
        <w:rPr>
          <w:rFonts w:eastAsia="Times New Roman" w:cs="Arial"/>
          <w:kern w:val="28"/>
          <w:sz w:val="22"/>
          <w:lang w:val="es-ES_tradnl" w:eastAsia="es-ES_tradnl"/>
        </w:rPr>
        <w:t>dsa</w:t>
      </w:r>
    </w:p>
    <w:p w14:paraId="2C4E7C2D" w14:textId="746E9D2A" w:rsidR="00173518" w:rsidRPr="00A85DB0" w:rsidRDefault="00173518" w:rsidP="00173518">
      <w:pPr>
        <w:pStyle w:val="Ttulo3"/>
        <w:spacing w:before="0" w:after="0"/>
        <w:rPr>
          <w:rFonts w:ascii="Arial" w:hAnsi="Arial" w:cs="Arial"/>
          <w:sz w:val="22"/>
          <w:szCs w:val="22"/>
        </w:rPr>
      </w:pPr>
      <w:bookmarkStart w:id="7" w:name="_Toc350262344"/>
      <w:bookmarkStart w:id="8" w:name="_Toc427767087"/>
      <w:r w:rsidRPr="0052116B">
        <w:rPr>
          <w:rFonts w:ascii="Arial" w:hAnsi="Arial" w:cs="Arial"/>
          <w:sz w:val="22"/>
          <w:szCs w:val="22"/>
        </w:rPr>
        <w:t>Tamaño de la muestra</w:t>
      </w:r>
      <w:bookmarkEnd w:id="7"/>
      <w:r w:rsidRPr="0052116B">
        <w:rPr>
          <w:rFonts w:ascii="Arial" w:hAnsi="Arial" w:cs="Arial"/>
          <w:sz w:val="22"/>
          <w:szCs w:val="22"/>
        </w:rPr>
        <w:t xml:space="preserve"> </w:t>
      </w:r>
      <w:bookmarkEnd w:id="8"/>
    </w:p>
    <w:p w14:paraId="52903D02" w14:textId="482A12F7" w:rsidR="0055180B" w:rsidRPr="0055180B" w:rsidRDefault="0055180B" w:rsidP="0055180B">
      <w:pPr>
        <w:rPr>
          <w:u w:val="single"/>
        </w:rPr>
      </w:pPr>
      <w:r>
        <w:t>ad</w:t>
      </w:r>
    </w:p>
    <w:p w14:paraId="59FE8DDB" w14:textId="77777777" w:rsidR="00173518" w:rsidRPr="0052116B" w:rsidRDefault="00173518" w:rsidP="00173518">
      <w:pPr>
        <w:rPr>
          <w:sz w:val="22"/>
        </w:rPr>
      </w:pPr>
    </w:p>
    <w:p w14:paraId="1594FDA7" w14:textId="77777777" w:rsidR="00A142E1" w:rsidRDefault="00A142E1">
      <w:pPr>
        <w:spacing w:after="200" w:line="276" w:lineRule="auto"/>
        <w:jc w:val="left"/>
        <w:rPr>
          <w:rFonts w:eastAsia="Times New Roman" w:cs="Arial"/>
          <w:b/>
          <w:kern w:val="32"/>
          <w:szCs w:val="24"/>
          <w:lang w:eastAsia="es-ES_tradnl"/>
        </w:rPr>
      </w:pPr>
    </w:p>
    <w:sectPr w:rsidR="00A142E1" w:rsidSect="000D122E">
      <w:headerReference w:type="default" r:id="rId8"/>
      <w:footerReference w:type="default" r:id="rId9"/>
      <w:endnotePr>
        <w:numFmt w:val="decimal"/>
      </w:endnotePr>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970D0" w14:textId="77777777" w:rsidR="00C31A40" w:rsidRDefault="00C31A40">
      <w:pPr>
        <w:spacing w:line="240" w:lineRule="auto"/>
      </w:pPr>
      <w:r>
        <w:separator/>
      </w:r>
    </w:p>
  </w:endnote>
  <w:endnote w:type="continuationSeparator" w:id="0">
    <w:p w14:paraId="526F0459" w14:textId="77777777" w:rsidR="00C31A40" w:rsidRDefault="00C31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33E3" w14:textId="7FFEBC5E" w:rsidR="001E4D0A" w:rsidRPr="001C4A35" w:rsidRDefault="00B8100A" w:rsidP="00A84268">
    <w:pPr>
      <w:pStyle w:val="Encabezado"/>
      <w:rPr>
        <w:sz w:val="20"/>
        <w:szCs w:val="20"/>
      </w:rPr>
    </w:pPr>
    <w:r>
      <w:rPr>
        <w:sz w:val="20"/>
        <w:szCs w:val="20"/>
      </w:rPr>
      <w:t xml:space="preserve">FC-ID-3101 Propuesta inicial, v01-feb-2022  </w:t>
    </w:r>
    <w:r w:rsidR="001E4D0A" w:rsidRPr="001C4A35">
      <w:rPr>
        <w:sz w:val="20"/>
        <w:szCs w:val="20"/>
      </w:rPr>
      <w:t xml:space="preserve">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r w:rsidR="001E4D0A" w:rsidRPr="001C4A35">
      <w:rPr>
        <w:rStyle w:val="Nmerodepgina"/>
        <w:sz w:val="20"/>
        <w:szCs w:val="20"/>
      </w:rPr>
      <w:t xml:space="preserve"> /</w:t>
    </w:r>
    <w:r>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690D8A">
      <w:rPr>
        <w:rStyle w:val="Nmerodepgina"/>
        <w:noProof/>
        <w:sz w:val="20"/>
        <w:szCs w:val="20"/>
      </w:rPr>
      <w:t>1</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CFE87" w14:textId="77777777" w:rsidR="00C31A40" w:rsidRDefault="00C31A40">
      <w:pPr>
        <w:spacing w:line="240" w:lineRule="auto"/>
      </w:pPr>
      <w:r>
        <w:separator/>
      </w:r>
    </w:p>
  </w:footnote>
  <w:footnote w:type="continuationSeparator" w:id="0">
    <w:p w14:paraId="12663856" w14:textId="77777777" w:rsidR="00C31A40" w:rsidRDefault="00C31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896B2" w14:textId="3BE0D233" w:rsidR="001E4D0A" w:rsidRPr="001C4A35" w:rsidRDefault="0052116B"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46CFEB1" wp14:editId="7473A2C4">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14:paraId="0180610E" w14:textId="77777777"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52116B" w:rsidRDefault="0052116B" w:rsidP="0052116B">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9264" behindDoc="1" locked="0" layoutInCell="1" allowOverlap="1" wp14:anchorId="13382A93" wp14:editId="6CC5F622">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D6178F">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2"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28"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8"/>
  </w:num>
  <w:num w:numId="2">
    <w:abstractNumId w:val="10"/>
  </w:num>
  <w:num w:numId="3">
    <w:abstractNumId w:val="23"/>
  </w:num>
  <w:num w:numId="4">
    <w:abstractNumId w:val="13"/>
  </w:num>
  <w:num w:numId="5">
    <w:abstractNumId w:val="3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27"/>
  </w:num>
  <w:num w:numId="18">
    <w:abstractNumId w:val="17"/>
  </w:num>
  <w:num w:numId="19">
    <w:abstractNumId w:val="16"/>
  </w:num>
  <w:num w:numId="20">
    <w:abstractNumId w:val="29"/>
  </w:num>
  <w:num w:numId="21">
    <w:abstractNumId w:val="20"/>
  </w:num>
  <w:num w:numId="22">
    <w:abstractNumId w:val="15"/>
  </w:num>
  <w:num w:numId="23">
    <w:abstractNumId w:val="25"/>
  </w:num>
  <w:num w:numId="24">
    <w:abstractNumId w:val="11"/>
  </w:num>
  <w:num w:numId="25">
    <w:abstractNumId w:val="30"/>
  </w:num>
  <w:num w:numId="26">
    <w:abstractNumId w:val="31"/>
  </w:num>
  <w:num w:numId="27">
    <w:abstractNumId w:val="12"/>
  </w:num>
  <w:num w:numId="28">
    <w:abstractNumId w:val="26"/>
  </w:num>
  <w:num w:numId="29">
    <w:abstractNumId w:val="35"/>
  </w:num>
  <w:num w:numId="30">
    <w:abstractNumId w:val="32"/>
  </w:num>
  <w:num w:numId="31">
    <w:abstractNumId w:val="34"/>
  </w:num>
  <w:num w:numId="32">
    <w:abstractNumId w:val="33"/>
  </w:num>
  <w:num w:numId="33">
    <w:abstractNumId w:val="14"/>
  </w:num>
  <w:num w:numId="34">
    <w:abstractNumId w:val="22"/>
  </w:num>
  <w:num w:numId="35">
    <w:abstractNumId w:val="24"/>
  </w:num>
  <w:num w:numId="36">
    <w:abstractNumId w:val="19"/>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827"/>
    <w:rsid w:val="0005309A"/>
    <w:rsid w:val="00070D25"/>
    <w:rsid w:val="00073540"/>
    <w:rsid w:val="000803A5"/>
    <w:rsid w:val="00081A24"/>
    <w:rsid w:val="00084D67"/>
    <w:rsid w:val="00087486"/>
    <w:rsid w:val="000902DC"/>
    <w:rsid w:val="0009293F"/>
    <w:rsid w:val="00094C7F"/>
    <w:rsid w:val="000A1250"/>
    <w:rsid w:val="000A1E87"/>
    <w:rsid w:val="000A2E8F"/>
    <w:rsid w:val="000A382E"/>
    <w:rsid w:val="000A396E"/>
    <w:rsid w:val="000A6A6B"/>
    <w:rsid w:val="000B235F"/>
    <w:rsid w:val="000B4E4F"/>
    <w:rsid w:val="000C12FD"/>
    <w:rsid w:val="000D122E"/>
    <w:rsid w:val="000D483B"/>
    <w:rsid w:val="000E34ED"/>
    <w:rsid w:val="000F7510"/>
    <w:rsid w:val="0010762D"/>
    <w:rsid w:val="001155C5"/>
    <w:rsid w:val="00121A2A"/>
    <w:rsid w:val="00125D09"/>
    <w:rsid w:val="00127450"/>
    <w:rsid w:val="00131C39"/>
    <w:rsid w:val="001362F7"/>
    <w:rsid w:val="00160DEA"/>
    <w:rsid w:val="00161DE5"/>
    <w:rsid w:val="00162655"/>
    <w:rsid w:val="0017098C"/>
    <w:rsid w:val="00170D1B"/>
    <w:rsid w:val="00172B83"/>
    <w:rsid w:val="001731C0"/>
    <w:rsid w:val="00173518"/>
    <w:rsid w:val="0017608C"/>
    <w:rsid w:val="0018278A"/>
    <w:rsid w:val="00192035"/>
    <w:rsid w:val="00192BC0"/>
    <w:rsid w:val="001B0AC6"/>
    <w:rsid w:val="001B37B8"/>
    <w:rsid w:val="001C0F59"/>
    <w:rsid w:val="001C4847"/>
    <w:rsid w:val="001C4A35"/>
    <w:rsid w:val="001C4C48"/>
    <w:rsid w:val="001C7613"/>
    <w:rsid w:val="001C7A9F"/>
    <w:rsid w:val="001E18E9"/>
    <w:rsid w:val="001E4D0A"/>
    <w:rsid w:val="001E5AFA"/>
    <w:rsid w:val="001E7A57"/>
    <w:rsid w:val="00203E94"/>
    <w:rsid w:val="00204D9B"/>
    <w:rsid w:val="0021069C"/>
    <w:rsid w:val="00226C94"/>
    <w:rsid w:val="00226F7E"/>
    <w:rsid w:val="00232992"/>
    <w:rsid w:val="00244721"/>
    <w:rsid w:val="00260460"/>
    <w:rsid w:val="00262EDF"/>
    <w:rsid w:val="00264761"/>
    <w:rsid w:val="00266F8B"/>
    <w:rsid w:val="002770C6"/>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209C8"/>
    <w:rsid w:val="003311A4"/>
    <w:rsid w:val="00342593"/>
    <w:rsid w:val="00361DF4"/>
    <w:rsid w:val="00363698"/>
    <w:rsid w:val="003638E1"/>
    <w:rsid w:val="00380C85"/>
    <w:rsid w:val="00383E50"/>
    <w:rsid w:val="003847FA"/>
    <w:rsid w:val="00395E10"/>
    <w:rsid w:val="003A0557"/>
    <w:rsid w:val="003A1AAA"/>
    <w:rsid w:val="003B24E8"/>
    <w:rsid w:val="003B3C07"/>
    <w:rsid w:val="003C1CA7"/>
    <w:rsid w:val="003C3387"/>
    <w:rsid w:val="003D3539"/>
    <w:rsid w:val="003D5DB3"/>
    <w:rsid w:val="003D6C41"/>
    <w:rsid w:val="003F3E38"/>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E737F"/>
    <w:rsid w:val="004F453D"/>
    <w:rsid w:val="004F6126"/>
    <w:rsid w:val="00503131"/>
    <w:rsid w:val="00504270"/>
    <w:rsid w:val="005045C9"/>
    <w:rsid w:val="00505CB7"/>
    <w:rsid w:val="00505FC7"/>
    <w:rsid w:val="005127B7"/>
    <w:rsid w:val="00512CC5"/>
    <w:rsid w:val="0052116B"/>
    <w:rsid w:val="00521677"/>
    <w:rsid w:val="00523943"/>
    <w:rsid w:val="00523E97"/>
    <w:rsid w:val="00546028"/>
    <w:rsid w:val="0055180B"/>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D11CA"/>
    <w:rsid w:val="005D4DAD"/>
    <w:rsid w:val="005D6E17"/>
    <w:rsid w:val="005D7016"/>
    <w:rsid w:val="005F30B4"/>
    <w:rsid w:val="005F4261"/>
    <w:rsid w:val="005F689F"/>
    <w:rsid w:val="00613EE8"/>
    <w:rsid w:val="00626C3C"/>
    <w:rsid w:val="0064295F"/>
    <w:rsid w:val="00643694"/>
    <w:rsid w:val="00645534"/>
    <w:rsid w:val="0065043B"/>
    <w:rsid w:val="00660FA1"/>
    <w:rsid w:val="0066104D"/>
    <w:rsid w:val="00661DFC"/>
    <w:rsid w:val="006632AE"/>
    <w:rsid w:val="006821E6"/>
    <w:rsid w:val="006826D8"/>
    <w:rsid w:val="0068525B"/>
    <w:rsid w:val="00690D8A"/>
    <w:rsid w:val="00696D39"/>
    <w:rsid w:val="006A02D0"/>
    <w:rsid w:val="006A1466"/>
    <w:rsid w:val="006A4BBE"/>
    <w:rsid w:val="006B53CD"/>
    <w:rsid w:val="006B5B36"/>
    <w:rsid w:val="006B6EB5"/>
    <w:rsid w:val="006D12AE"/>
    <w:rsid w:val="006D2840"/>
    <w:rsid w:val="006E4298"/>
    <w:rsid w:val="006F09D4"/>
    <w:rsid w:val="0070169D"/>
    <w:rsid w:val="00714C7B"/>
    <w:rsid w:val="00726133"/>
    <w:rsid w:val="0073365B"/>
    <w:rsid w:val="00733F86"/>
    <w:rsid w:val="0073547A"/>
    <w:rsid w:val="0073694D"/>
    <w:rsid w:val="007450C3"/>
    <w:rsid w:val="00746C4B"/>
    <w:rsid w:val="00757BDB"/>
    <w:rsid w:val="0076770E"/>
    <w:rsid w:val="00771DD4"/>
    <w:rsid w:val="0077736F"/>
    <w:rsid w:val="0078184A"/>
    <w:rsid w:val="00784CDF"/>
    <w:rsid w:val="00786279"/>
    <w:rsid w:val="007935FC"/>
    <w:rsid w:val="00794F29"/>
    <w:rsid w:val="007951E7"/>
    <w:rsid w:val="00797046"/>
    <w:rsid w:val="007A56D8"/>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20D6"/>
    <w:rsid w:val="00893122"/>
    <w:rsid w:val="008A0119"/>
    <w:rsid w:val="008A0166"/>
    <w:rsid w:val="008B4E59"/>
    <w:rsid w:val="008B6458"/>
    <w:rsid w:val="008B64EB"/>
    <w:rsid w:val="008C6414"/>
    <w:rsid w:val="008D7F6B"/>
    <w:rsid w:val="008F6D7B"/>
    <w:rsid w:val="009063AB"/>
    <w:rsid w:val="009068ED"/>
    <w:rsid w:val="00911273"/>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C76E7"/>
    <w:rsid w:val="009D000E"/>
    <w:rsid w:val="009D63D3"/>
    <w:rsid w:val="009E62EA"/>
    <w:rsid w:val="009F4F79"/>
    <w:rsid w:val="00A00939"/>
    <w:rsid w:val="00A00E7A"/>
    <w:rsid w:val="00A1016E"/>
    <w:rsid w:val="00A142E1"/>
    <w:rsid w:val="00A21C1B"/>
    <w:rsid w:val="00A311D8"/>
    <w:rsid w:val="00A3479C"/>
    <w:rsid w:val="00A356B0"/>
    <w:rsid w:val="00A37CD6"/>
    <w:rsid w:val="00A40D75"/>
    <w:rsid w:val="00A4165A"/>
    <w:rsid w:val="00A4348F"/>
    <w:rsid w:val="00A44476"/>
    <w:rsid w:val="00A447A5"/>
    <w:rsid w:val="00A52A30"/>
    <w:rsid w:val="00A613B7"/>
    <w:rsid w:val="00A6220E"/>
    <w:rsid w:val="00A80716"/>
    <w:rsid w:val="00A81686"/>
    <w:rsid w:val="00A84268"/>
    <w:rsid w:val="00A85DB0"/>
    <w:rsid w:val="00A866B0"/>
    <w:rsid w:val="00AA7506"/>
    <w:rsid w:val="00AB093A"/>
    <w:rsid w:val="00AC150B"/>
    <w:rsid w:val="00AC3CFF"/>
    <w:rsid w:val="00AC3DEB"/>
    <w:rsid w:val="00AC657A"/>
    <w:rsid w:val="00AD3C63"/>
    <w:rsid w:val="00AD5C5F"/>
    <w:rsid w:val="00AD67D1"/>
    <w:rsid w:val="00AD72E6"/>
    <w:rsid w:val="00AE0060"/>
    <w:rsid w:val="00AE5500"/>
    <w:rsid w:val="00AF391B"/>
    <w:rsid w:val="00AF53F6"/>
    <w:rsid w:val="00AF7265"/>
    <w:rsid w:val="00B055AD"/>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100A"/>
    <w:rsid w:val="00B825AF"/>
    <w:rsid w:val="00B87D42"/>
    <w:rsid w:val="00BA1128"/>
    <w:rsid w:val="00BA1A60"/>
    <w:rsid w:val="00BA4D49"/>
    <w:rsid w:val="00BB6A99"/>
    <w:rsid w:val="00BD0507"/>
    <w:rsid w:val="00BD342D"/>
    <w:rsid w:val="00BD6C04"/>
    <w:rsid w:val="00BE3F80"/>
    <w:rsid w:val="00BE57D4"/>
    <w:rsid w:val="00BE7130"/>
    <w:rsid w:val="00BF477C"/>
    <w:rsid w:val="00BF5369"/>
    <w:rsid w:val="00C00840"/>
    <w:rsid w:val="00C07B16"/>
    <w:rsid w:val="00C15C3D"/>
    <w:rsid w:val="00C15D07"/>
    <w:rsid w:val="00C25A3C"/>
    <w:rsid w:val="00C27ADA"/>
    <w:rsid w:val="00C31A40"/>
    <w:rsid w:val="00C3393A"/>
    <w:rsid w:val="00C37D8F"/>
    <w:rsid w:val="00C40717"/>
    <w:rsid w:val="00C4747B"/>
    <w:rsid w:val="00C56C84"/>
    <w:rsid w:val="00C5762D"/>
    <w:rsid w:val="00C60D0D"/>
    <w:rsid w:val="00C71128"/>
    <w:rsid w:val="00C71793"/>
    <w:rsid w:val="00C8135A"/>
    <w:rsid w:val="00C85167"/>
    <w:rsid w:val="00C852F4"/>
    <w:rsid w:val="00CA2601"/>
    <w:rsid w:val="00CB52D4"/>
    <w:rsid w:val="00CB5C44"/>
    <w:rsid w:val="00CD15FC"/>
    <w:rsid w:val="00CE09E8"/>
    <w:rsid w:val="00CE58CD"/>
    <w:rsid w:val="00CE7139"/>
    <w:rsid w:val="00CF2428"/>
    <w:rsid w:val="00CF276A"/>
    <w:rsid w:val="00CF2CAE"/>
    <w:rsid w:val="00CF65DC"/>
    <w:rsid w:val="00D00641"/>
    <w:rsid w:val="00D00952"/>
    <w:rsid w:val="00D037CC"/>
    <w:rsid w:val="00D05D4C"/>
    <w:rsid w:val="00D07C08"/>
    <w:rsid w:val="00D20CDC"/>
    <w:rsid w:val="00D257F4"/>
    <w:rsid w:val="00D30B0F"/>
    <w:rsid w:val="00D3294C"/>
    <w:rsid w:val="00D40466"/>
    <w:rsid w:val="00D460CA"/>
    <w:rsid w:val="00D503A1"/>
    <w:rsid w:val="00D5168F"/>
    <w:rsid w:val="00D519AB"/>
    <w:rsid w:val="00D533EF"/>
    <w:rsid w:val="00D53421"/>
    <w:rsid w:val="00D5561C"/>
    <w:rsid w:val="00D6178F"/>
    <w:rsid w:val="00D64ACB"/>
    <w:rsid w:val="00D670F0"/>
    <w:rsid w:val="00D75C24"/>
    <w:rsid w:val="00DA3A7A"/>
    <w:rsid w:val="00DC1756"/>
    <w:rsid w:val="00DC1A0E"/>
    <w:rsid w:val="00DC35A6"/>
    <w:rsid w:val="00E01EDA"/>
    <w:rsid w:val="00E02D3A"/>
    <w:rsid w:val="00E04566"/>
    <w:rsid w:val="00E076D7"/>
    <w:rsid w:val="00E14F51"/>
    <w:rsid w:val="00E2647C"/>
    <w:rsid w:val="00E277D4"/>
    <w:rsid w:val="00E35A0E"/>
    <w:rsid w:val="00E35BB5"/>
    <w:rsid w:val="00E65366"/>
    <w:rsid w:val="00E8058B"/>
    <w:rsid w:val="00E80FE5"/>
    <w:rsid w:val="00E82877"/>
    <w:rsid w:val="00E87826"/>
    <w:rsid w:val="00E930CA"/>
    <w:rsid w:val="00E9739C"/>
    <w:rsid w:val="00EB0C24"/>
    <w:rsid w:val="00EB46E8"/>
    <w:rsid w:val="00EC153B"/>
    <w:rsid w:val="00EC290A"/>
    <w:rsid w:val="00EC33BC"/>
    <w:rsid w:val="00EC6387"/>
    <w:rsid w:val="00EC6A2F"/>
    <w:rsid w:val="00ED3D40"/>
    <w:rsid w:val="00ED6D36"/>
    <w:rsid w:val="00EF1E04"/>
    <w:rsid w:val="00EF518E"/>
    <w:rsid w:val="00F1160D"/>
    <w:rsid w:val="00F24DB2"/>
    <w:rsid w:val="00F41643"/>
    <w:rsid w:val="00F42148"/>
    <w:rsid w:val="00F4539B"/>
    <w:rsid w:val="00F455B7"/>
    <w:rsid w:val="00F47349"/>
    <w:rsid w:val="00F47C0E"/>
    <w:rsid w:val="00F53C02"/>
    <w:rsid w:val="00F56D20"/>
    <w:rsid w:val="00F7310E"/>
    <w:rsid w:val="00F73B9D"/>
    <w:rsid w:val="00F73E9D"/>
    <w:rsid w:val="00F8728B"/>
    <w:rsid w:val="00F97F9B"/>
    <w:rsid w:val="00FB3255"/>
    <w:rsid w:val="00FB40C5"/>
    <w:rsid w:val="00FB4241"/>
    <w:rsid w:val="00FD33EC"/>
    <w:rsid w:val="00FE0D6E"/>
    <w:rsid w:val="00FF0568"/>
    <w:rsid w:val="00FF53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003FE"/>
  <w15:docId w15:val="{1CBE4186-97AD-457C-BD9C-CE3D4DA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7FA3DD56-5C0E-4005-8D40-BB332688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33</Words>
  <Characters>186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13</cp:revision>
  <dcterms:created xsi:type="dcterms:W3CDTF">2022-06-23T16:37:00Z</dcterms:created>
  <dcterms:modified xsi:type="dcterms:W3CDTF">2022-06-27T20:01:00Z</dcterms:modified>
</cp:coreProperties>
</file>