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E2" w:rsidRPr="00690F74" w:rsidRDefault="005137C5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</w:p>
    <w:p w:rsidR="00690F74" w:rsidRPr="00690F74" w:rsidRDefault="00690F74" w:rsidP="00C66F40">
      <w:pPr>
        <w:spacing w:line="360" w:lineRule="auto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F33E60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2077A5" wp14:editId="319AB2C2">
                <wp:simplePos x="0" y="0"/>
                <wp:positionH relativeFrom="column">
                  <wp:posOffset>2757805</wp:posOffset>
                </wp:positionH>
                <wp:positionV relativeFrom="paragraph">
                  <wp:posOffset>214948</wp:posOffset>
                </wp:positionV>
                <wp:extent cx="2718435" cy="196024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96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E60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:rsidR="00581C5A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:rsidR="00581C5A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454AF5" w:rsidRDefault="00490294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</w:t>
                            </w:r>
                            <w:r w:rsidR="00454AF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nstructivo de trabajo</w:t>
                            </w:r>
                          </w:p>
                          <w:p w:rsidR="00F33E60" w:rsidRDefault="00F33E60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454AF5" w:rsidRDefault="00454AF5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</w:t>
                            </w:r>
                            <w:r w:rsidR="00490294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T</w:t>
                            </w:r>
                            <w:r w:rsidR="00581C5A"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-</w:t>
                            </w:r>
                            <w:r w:rsidR="00CE3B46"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SC-</w:t>
                            </w:r>
                            <w:r w:rsidR="007F2006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5.4</w:t>
                            </w:r>
                            <w:r w:rsidR="00581C5A"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33E60" w:rsidRDefault="00F33E60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581C5A" w:rsidRDefault="00D476D7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Farmacovigilancia</w:t>
                            </w:r>
                          </w:p>
                          <w:p w:rsidR="00581C5A" w:rsidRPr="00BA5ACC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581C5A" w:rsidRPr="005E5E43" w:rsidRDefault="00200026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1 de </w:t>
                            </w:r>
                            <w:r w:rsidR="00974BFC">
                              <w:rPr>
                                <w:rFonts w:ascii="Century Gothic" w:hAnsi="Century Gothic"/>
                              </w:rPr>
                              <w:t>octubr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e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2077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16.95pt;width:214.05pt;height:154.3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" stroked="f">
                <v:textbox style="mso-fit-shape-to-text:t">
                  <w:txbxContent>
                    <w:p w:rsidR="00F33E60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:rsidR="00581C5A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:rsidR="00581C5A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454AF5" w:rsidRDefault="00490294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</w:t>
                      </w:r>
                      <w:r w:rsidR="00454AF5">
                        <w:rPr>
                          <w:rFonts w:ascii="Century Gothic" w:hAnsi="Century Gothic"/>
                          <w:sz w:val="36"/>
                          <w:szCs w:val="36"/>
                        </w:rPr>
                        <w:t>nstructivo de trabajo</w:t>
                      </w:r>
                    </w:p>
                    <w:p w:rsidR="00F33E60" w:rsidRDefault="00F33E60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454AF5" w:rsidRDefault="00454AF5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</w:t>
                      </w:r>
                      <w:r w:rsidR="00490294">
                        <w:rPr>
                          <w:rFonts w:ascii="Century Gothic" w:hAnsi="Century Gothic"/>
                          <w:sz w:val="36"/>
                          <w:szCs w:val="36"/>
                        </w:rPr>
                        <w:t>T</w:t>
                      </w:r>
                      <w:r w:rsidR="00581C5A"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-</w:t>
                      </w:r>
                      <w:r w:rsidR="00CE3B46"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SC-</w:t>
                      </w:r>
                      <w:r w:rsidR="007F2006">
                        <w:rPr>
                          <w:rFonts w:ascii="Century Gothic" w:hAnsi="Century Gothic"/>
                          <w:sz w:val="36"/>
                          <w:szCs w:val="36"/>
                        </w:rPr>
                        <w:t>5.4</w:t>
                      </w:r>
                      <w:r w:rsidR="00581C5A"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33E60" w:rsidRDefault="00F33E60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581C5A" w:rsidRDefault="00D476D7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Farmacovigilancia</w:t>
                      </w:r>
                    </w:p>
                    <w:p w:rsidR="00581C5A" w:rsidRPr="00BA5ACC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581C5A" w:rsidRPr="005E5E43" w:rsidRDefault="00200026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1 de </w:t>
                      </w:r>
                      <w:r w:rsidR="00974BFC">
                        <w:rPr>
                          <w:rFonts w:ascii="Century Gothic" w:hAnsi="Century Gothic"/>
                        </w:rPr>
                        <w:t>octubr</w:t>
                      </w:r>
                      <w:r>
                        <w:rPr>
                          <w:rFonts w:ascii="Century Gothic" w:hAnsi="Century Gothic"/>
                        </w:rPr>
                        <w:t>e de 2020</w:t>
                      </w:r>
                    </w:p>
                  </w:txbxContent>
                </v:textbox>
              </v:shape>
            </w:pict>
          </mc:Fallback>
        </mc:AlternateContent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782740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2"/>
        <w:gridCol w:w="2941"/>
        <w:gridCol w:w="2945"/>
      </w:tblGrid>
      <w:tr w:rsidR="00725353" w:rsidRPr="009F0063" w:rsidTr="009F0063">
        <w:tc>
          <w:tcPr>
            <w:tcW w:w="2992" w:type="dxa"/>
            <w:vMerge w:val="restart"/>
            <w:vAlign w:val="center"/>
          </w:tcPr>
          <w:p w:rsidR="002F17E8" w:rsidRDefault="002F17E8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:rsidR="00725353" w:rsidRDefault="00476D56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 xml:space="preserve">Sitio </w:t>
            </w:r>
            <w:r w:rsidR="00B432C6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línico</w:t>
            </w:r>
          </w:p>
          <w:p w:rsidR="00476D56" w:rsidRPr="009F0063" w:rsidRDefault="002F17E8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S</w:t>
            </w:r>
            <w:r w:rsidR="00476D56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:rsidR="00725353" w:rsidRPr="009F0063" w:rsidRDefault="00974BFC" w:rsidP="00454AF5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:rsidR="00725353" w:rsidRPr="009F0063" w:rsidRDefault="00200026" w:rsidP="00B432C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3.3</w:t>
            </w:r>
          </w:p>
        </w:tc>
      </w:tr>
      <w:tr w:rsidR="00725353" w:rsidRPr="009F0063" w:rsidTr="009F0063">
        <w:tc>
          <w:tcPr>
            <w:tcW w:w="2992" w:type="dxa"/>
            <w:vMerge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:rsidR="00725353" w:rsidRPr="009F0063" w:rsidRDefault="00AF77E5" w:rsidP="007F200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</w:t>
            </w:r>
            <w:r w:rsidR="001B2239">
              <w:rPr>
                <w:rFonts w:eastAsia="Calibri"/>
                <w:szCs w:val="22"/>
                <w:lang w:eastAsia="en-US"/>
              </w:rPr>
              <w:t>-</w:t>
            </w:r>
            <w:r w:rsidR="00CE3B46">
              <w:rPr>
                <w:rFonts w:eastAsia="Calibri"/>
                <w:szCs w:val="22"/>
                <w:lang w:eastAsia="en-US"/>
              </w:rPr>
              <w:t>SC-</w:t>
            </w:r>
            <w:r w:rsidR="007F2006">
              <w:rPr>
                <w:rFonts w:eastAsia="Calibri"/>
                <w:szCs w:val="22"/>
                <w:lang w:eastAsia="en-US"/>
              </w:rPr>
              <w:t>5.4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:rsidR="00725353" w:rsidRPr="009F0063" w:rsidRDefault="00200026" w:rsidP="00B432C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29-ene-2022</w:t>
            </w:r>
          </w:p>
        </w:tc>
      </w:tr>
    </w:tbl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C01ABA" w:rsidRDefault="00245A5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 w:rsidR="00987AF6">
        <w:rPr>
          <w:rFonts w:eastAsia="Calibri"/>
          <w:b/>
          <w:sz w:val="28"/>
          <w:szCs w:val="28"/>
          <w:lang w:eastAsia="en-US"/>
        </w:rPr>
        <w:t xml:space="preserve">la 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 w:rsidR="00251285">
        <w:rPr>
          <w:rFonts w:eastAsia="Calibri"/>
          <w:b/>
          <w:sz w:val="28"/>
          <w:szCs w:val="28"/>
          <w:lang w:eastAsia="en-US"/>
        </w:rPr>
        <w:t>Q</w:t>
      </w:r>
      <w:r w:rsidR="00725353" w:rsidRPr="00C01ABA">
        <w:rPr>
          <w:rFonts w:eastAsia="Calibri"/>
          <w:b/>
          <w:sz w:val="28"/>
          <w:szCs w:val="28"/>
          <w:lang w:eastAsia="en-US"/>
        </w:rPr>
        <w:t>UIS</w:t>
      </w:r>
      <w:r w:rsidR="00725353"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:rsidR="00454AF5" w:rsidRDefault="00AF77E5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</w:t>
      </w:r>
      <w:r w:rsidR="004B7146">
        <w:rPr>
          <w:rFonts w:eastAsia="Calibri"/>
          <w:b/>
          <w:sz w:val="44"/>
          <w:szCs w:val="44"/>
          <w:lang w:eastAsia="en-US"/>
        </w:rPr>
        <w:t>o</w:t>
      </w:r>
    </w:p>
    <w:p w:rsidR="00690F74" w:rsidRPr="008B022F" w:rsidRDefault="005546A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SC</w:t>
      </w:r>
      <w:r w:rsidR="00454AF5">
        <w:rPr>
          <w:rFonts w:eastAsia="Calibri"/>
          <w:b/>
          <w:sz w:val="44"/>
          <w:szCs w:val="44"/>
          <w:lang w:eastAsia="en-US"/>
        </w:rPr>
        <w:t>-</w:t>
      </w:r>
      <w:r w:rsidR="00533B6D">
        <w:rPr>
          <w:rFonts w:eastAsia="Calibri"/>
          <w:b/>
          <w:sz w:val="44"/>
          <w:szCs w:val="44"/>
          <w:lang w:eastAsia="en-US"/>
        </w:rPr>
        <w:t>5</w:t>
      </w:r>
      <w:r w:rsidR="00B432C6">
        <w:rPr>
          <w:rFonts w:eastAsia="Calibri"/>
          <w:b/>
          <w:sz w:val="44"/>
          <w:szCs w:val="44"/>
          <w:lang w:eastAsia="en-US"/>
        </w:rPr>
        <w:t>.</w:t>
      </w:r>
      <w:r w:rsidR="00533B6D">
        <w:rPr>
          <w:rFonts w:eastAsia="Calibri"/>
          <w:b/>
          <w:sz w:val="44"/>
          <w:szCs w:val="44"/>
          <w:lang w:eastAsia="en-US"/>
        </w:rPr>
        <w:t>4</w:t>
      </w:r>
      <w:r w:rsidR="006C4E8E">
        <w:rPr>
          <w:rFonts w:eastAsia="Calibri"/>
          <w:b/>
          <w:sz w:val="44"/>
          <w:szCs w:val="44"/>
          <w:lang w:eastAsia="en-US"/>
        </w:rPr>
        <w:t xml:space="preserve"> </w:t>
      </w:r>
      <w:r w:rsidR="00D476D7">
        <w:rPr>
          <w:rFonts w:eastAsia="Calibri"/>
          <w:b/>
          <w:sz w:val="44"/>
          <w:szCs w:val="44"/>
          <w:lang w:eastAsia="en-US"/>
        </w:rPr>
        <w:t>F</w:t>
      </w:r>
      <w:r w:rsidR="00533B6D">
        <w:rPr>
          <w:rFonts w:eastAsia="Calibri"/>
          <w:b/>
          <w:sz w:val="44"/>
          <w:szCs w:val="44"/>
          <w:lang w:eastAsia="en-US"/>
        </w:rPr>
        <w:t>a</w:t>
      </w:r>
      <w:r w:rsidR="00D476D7">
        <w:rPr>
          <w:rFonts w:eastAsia="Calibri"/>
          <w:b/>
          <w:sz w:val="44"/>
          <w:szCs w:val="44"/>
          <w:lang w:eastAsia="en-US"/>
        </w:rPr>
        <w:t>rmacovigilancia</w:t>
      </w:r>
    </w:p>
    <w:p w:rsidR="00725353" w:rsidRDefault="00725353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:rsidR="006C4E8E" w:rsidRPr="00725353" w:rsidRDefault="006C4E8E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79788C" w:rsidRPr="00A8084D" w:rsidTr="00B8448A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725353" w:rsidRPr="00725353" w:rsidTr="00A8084D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:rsidR="00725353" w:rsidRP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B432C6" w:rsidRPr="00725353" w:rsidTr="00055CE4">
        <w:tc>
          <w:tcPr>
            <w:tcW w:w="2992" w:type="dxa"/>
            <w:shd w:val="clear" w:color="auto" w:fill="auto"/>
          </w:tcPr>
          <w:p w:rsidR="00B432C6" w:rsidRPr="00725353" w:rsidRDefault="00B432C6" w:rsidP="00055CE4">
            <w:pPr>
              <w:spacing w:line="360" w:lineRule="auto"/>
              <w:rPr>
                <w:color w:val="D9D9D9"/>
                <w:lang w:eastAsia="en-US"/>
              </w:rPr>
            </w:pPr>
          </w:p>
          <w:p w:rsidR="00B432C6" w:rsidRPr="00BA1A6D" w:rsidRDefault="00B432C6" w:rsidP="00055CE4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:rsidR="00B432C6" w:rsidRPr="00BA1A6D" w:rsidRDefault="00B432C6" w:rsidP="00055CE4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:rsidR="00B432C6" w:rsidRPr="00725353" w:rsidRDefault="00974BFC" w:rsidP="00454AF5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</w:tc>
        <w:tc>
          <w:tcPr>
            <w:tcW w:w="2993" w:type="dxa"/>
            <w:shd w:val="clear" w:color="auto" w:fill="auto"/>
          </w:tcPr>
          <w:p w:rsidR="00B432C6" w:rsidRPr="00725353" w:rsidRDefault="00B432C6" w:rsidP="00055CE4">
            <w:pPr>
              <w:spacing w:line="360" w:lineRule="auto"/>
              <w:rPr>
                <w:color w:val="D9D9D9"/>
                <w:lang w:eastAsia="en-US"/>
              </w:rPr>
            </w:pPr>
          </w:p>
          <w:p w:rsidR="00B432C6" w:rsidRPr="00BA1A6D" w:rsidRDefault="00B432C6" w:rsidP="00055CE4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:rsidR="00B432C6" w:rsidRDefault="00B432C6" w:rsidP="00055CE4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:rsidR="00B432C6" w:rsidRPr="00BA1A6D" w:rsidRDefault="00974BFC" w:rsidP="00055CE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  <w:p w:rsidR="00B432C6" w:rsidRPr="00725353" w:rsidRDefault="00B432C6" w:rsidP="00055CE4">
            <w:pPr>
              <w:spacing w:line="360" w:lineRule="auto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shd w:val="clear" w:color="auto" w:fill="auto"/>
          </w:tcPr>
          <w:p w:rsidR="00B432C6" w:rsidRPr="00725353" w:rsidRDefault="00B432C6" w:rsidP="00055CE4">
            <w:pPr>
              <w:spacing w:line="360" w:lineRule="auto"/>
              <w:rPr>
                <w:color w:val="D9D9D9"/>
                <w:lang w:eastAsia="en-US"/>
              </w:rPr>
            </w:pPr>
          </w:p>
          <w:p w:rsidR="00B432C6" w:rsidRDefault="00B432C6" w:rsidP="00055CE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:rsidR="00B432C6" w:rsidRDefault="00B432C6" w:rsidP="00055CE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:rsidR="00B432C6" w:rsidRPr="00BA1A6D" w:rsidRDefault="00974BFC" w:rsidP="00055CE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  <w:p w:rsidR="00B432C6" w:rsidRPr="00E7788E" w:rsidRDefault="00B432C6" w:rsidP="00055CE4">
            <w:pPr>
              <w:spacing w:line="360" w:lineRule="auto"/>
              <w:jc w:val="center"/>
              <w:rPr>
                <w:lang w:eastAsia="en-US"/>
              </w:rPr>
            </w:pPr>
          </w:p>
        </w:tc>
      </w:tr>
    </w:tbl>
    <w:p w:rsidR="0045535B" w:rsidRDefault="0045535B" w:rsidP="0045535B">
      <w:pPr>
        <w:spacing w:line="360" w:lineRule="auto"/>
        <w:rPr>
          <w:lang w:eastAsia="en-US"/>
        </w:rPr>
      </w:pPr>
    </w:p>
    <w:p w:rsidR="00A8084D" w:rsidRDefault="00A8084D" w:rsidP="0045535B">
      <w:pPr>
        <w:spacing w:line="360" w:lineRule="auto"/>
        <w:rPr>
          <w:lang w:eastAsia="en-US"/>
        </w:rPr>
      </w:pPr>
    </w:p>
    <w:p w:rsidR="00E03FB0" w:rsidRDefault="00E03FB0" w:rsidP="0045535B">
      <w:pPr>
        <w:spacing w:line="360" w:lineRule="auto"/>
        <w:rPr>
          <w:lang w:eastAsia="en-US"/>
        </w:rPr>
      </w:pPr>
    </w:p>
    <w:p w:rsidR="00E03FB0" w:rsidRDefault="00E03FB0" w:rsidP="00E03FB0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Grupo UIS. Trasviña y Retes 1317, Colonia San Felipe, Chihuahua, Chih., 31203, México </w:t>
      </w:r>
      <w:hyperlink r:id="rId9" w:history="1">
        <w:r>
          <w:rPr>
            <w:rStyle w:val="Hipervnculo"/>
            <w:sz w:val="16"/>
            <w:szCs w:val="16"/>
          </w:rPr>
          <w:t>www.uis.com.mx</w:t>
        </w:r>
      </w:hyperlink>
    </w:p>
    <w:p w:rsidR="00690F74" w:rsidRPr="00690F74" w:rsidRDefault="00782740" w:rsidP="003332DE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875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78009" id="Conector recto 2" o:spid="_x0000_s1026" style="position:absolute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:rsidR="00690F74" w:rsidRPr="00690F74" w:rsidRDefault="00690F74" w:rsidP="003332DE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:rsidR="00C41A20" w:rsidRDefault="00690F74" w:rsidP="003332DE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 xml:space="preserve">La información contenida en este documento es estrictamente confidencial. Se le muestra a usted como potencial investigador, evaluador, participante en su desarrollo, consultor o patrocinador, pero no deberá ser </w:t>
      </w:r>
      <w:r w:rsidR="00360492" w:rsidRPr="00690F74">
        <w:rPr>
          <w:rFonts w:eastAsia="Calibri"/>
          <w:sz w:val="20"/>
          <w:szCs w:val="20"/>
          <w:lang w:eastAsia="en-US"/>
        </w:rPr>
        <w:t>fotocopiada, divulgada</w:t>
      </w:r>
      <w:r w:rsidRPr="00690F74">
        <w:rPr>
          <w:rFonts w:eastAsia="Calibri"/>
          <w:sz w:val="20"/>
          <w:szCs w:val="20"/>
          <w:lang w:eastAsia="en-US"/>
        </w:rPr>
        <w:t xml:space="preserve"> o transmitida a ninguna otra persona sin firma previa de un acuerdo de confidencialidad aprobado por la empresa.</w:t>
      </w:r>
    </w:p>
    <w:p w:rsidR="00B5044B" w:rsidRPr="00F2093A" w:rsidRDefault="00B5044B" w:rsidP="009A6D05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bookmarkStart w:id="0" w:name="_Toc372304130"/>
      <w:bookmarkStart w:id="1" w:name="_Toc377676593"/>
      <w:bookmarkStart w:id="2" w:name="_Toc421097493"/>
      <w:bookmarkStart w:id="3" w:name="_Toc458979089"/>
      <w:bookmarkStart w:id="4" w:name="_Toc48489043"/>
      <w:r w:rsidRPr="00F2093A">
        <w:rPr>
          <w:rFonts w:ascii="Arial" w:eastAsia="Calibri" w:hAnsi="Arial" w:cs="Arial"/>
          <w:sz w:val="24"/>
          <w:szCs w:val="24"/>
        </w:rPr>
        <w:lastRenderedPageBreak/>
        <w:t>Contenido</w:t>
      </w:r>
      <w:bookmarkEnd w:id="0"/>
      <w:bookmarkEnd w:id="1"/>
      <w:bookmarkEnd w:id="2"/>
      <w:bookmarkEnd w:id="3"/>
      <w:bookmarkEnd w:id="4"/>
    </w:p>
    <w:bookmarkStart w:id="5" w:name="_Toc349572764"/>
    <w:bookmarkStart w:id="6" w:name="_Toc353313152"/>
    <w:bookmarkEnd w:id="5"/>
    <w:bookmarkEnd w:id="6"/>
    <w:p w:rsidR="00533B6D" w:rsidRDefault="009A6D0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533B6D" w:rsidRDefault="006F34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89044" w:history="1">
        <w:r w:rsidR="00533B6D" w:rsidRPr="004F1724">
          <w:rPr>
            <w:rStyle w:val="Hipervnculo"/>
            <w:rFonts w:eastAsia="Calibri" w:cs="Arial"/>
            <w:noProof/>
          </w:rPr>
          <w:t>Abreviaturas usadas en el QUIS</w:t>
        </w:r>
        <w:r w:rsidR="00533B6D">
          <w:rPr>
            <w:noProof/>
            <w:webHidden/>
          </w:rPr>
          <w:tab/>
        </w:r>
        <w:r w:rsidR="00533B6D">
          <w:rPr>
            <w:noProof/>
            <w:webHidden/>
          </w:rPr>
          <w:fldChar w:fldCharType="begin"/>
        </w:r>
        <w:r w:rsidR="00533B6D">
          <w:rPr>
            <w:noProof/>
            <w:webHidden/>
          </w:rPr>
          <w:instrText xml:space="preserve"> PAGEREF _Toc48489044 \h </w:instrText>
        </w:r>
        <w:r w:rsidR="00533B6D">
          <w:rPr>
            <w:noProof/>
            <w:webHidden/>
          </w:rPr>
        </w:r>
        <w:r w:rsidR="00533B6D">
          <w:rPr>
            <w:noProof/>
            <w:webHidden/>
          </w:rPr>
          <w:fldChar w:fldCharType="separate"/>
        </w:r>
        <w:r w:rsidR="00533B6D">
          <w:rPr>
            <w:noProof/>
            <w:webHidden/>
          </w:rPr>
          <w:t>4</w:t>
        </w:r>
        <w:r w:rsidR="00533B6D">
          <w:rPr>
            <w:noProof/>
            <w:webHidden/>
          </w:rPr>
          <w:fldChar w:fldCharType="end"/>
        </w:r>
      </w:hyperlink>
    </w:p>
    <w:p w:rsidR="00533B6D" w:rsidRDefault="006F34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89045" w:history="1">
        <w:r w:rsidR="00533B6D" w:rsidRPr="004F1724">
          <w:rPr>
            <w:rStyle w:val="Hipervnculo"/>
            <w:rFonts w:eastAsia="Calibri" w:cs="Arial"/>
            <w:noProof/>
          </w:rPr>
          <w:t>IT-SC-5.4 Farmacovigilancia</w:t>
        </w:r>
        <w:r w:rsidR="00533B6D">
          <w:rPr>
            <w:noProof/>
            <w:webHidden/>
          </w:rPr>
          <w:tab/>
        </w:r>
        <w:r w:rsidR="00533B6D">
          <w:rPr>
            <w:noProof/>
            <w:webHidden/>
          </w:rPr>
          <w:fldChar w:fldCharType="begin"/>
        </w:r>
        <w:r w:rsidR="00533B6D">
          <w:rPr>
            <w:noProof/>
            <w:webHidden/>
          </w:rPr>
          <w:instrText xml:space="preserve"> PAGEREF _Toc48489045 \h </w:instrText>
        </w:r>
        <w:r w:rsidR="00533B6D">
          <w:rPr>
            <w:noProof/>
            <w:webHidden/>
          </w:rPr>
        </w:r>
        <w:r w:rsidR="00533B6D">
          <w:rPr>
            <w:noProof/>
            <w:webHidden/>
          </w:rPr>
          <w:fldChar w:fldCharType="separate"/>
        </w:r>
        <w:r w:rsidR="00533B6D">
          <w:rPr>
            <w:noProof/>
            <w:webHidden/>
          </w:rPr>
          <w:t>6</w:t>
        </w:r>
        <w:r w:rsidR="00533B6D">
          <w:rPr>
            <w:noProof/>
            <w:webHidden/>
          </w:rPr>
          <w:fldChar w:fldCharType="end"/>
        </w:r>
      </w:hyperlink>
    </w:p>
    <w:p w:rsidR="009A6D05" w:rsidRDefault="009A6D05" w:rsidP="009A6D05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9A6D05" w:rsidRDefault="009A6D05" w:rsidP="009A6D05">
      <w:pPr>
        <w:spacing w:line="360" w:lineRule="auto"/>
        <w:rPr>
          <w:b/>
          <w:bCs/>
          <w:lang w:val="es-ES"/>
        </w:rPr>
      </w:pPr>
    </w:p>
    <w:p w:rsidR="009A6D05" w:rsidRDefault="009A6D05" w:rsidP="009A6D05">
      <w:pPr>
        <w:spacing w:line="360" w:lineRule="auto"/>
        <w:rPr>
          <w:b/>
          <w:bCs/>
          <w:lang w:val="es-ES"/>
        </w:rPr>
      </w:pPr>
    </w:p>
    <w:p w:rsidR="009A6D05" w:rsidRDefault="009A6D05" w:rsidP="009A6D05">
      <w:pPr>
        <w:spacing w:line="360" w:lineRule="auto"/>
        <w:rPr>
          <w:b/>
          <w:bCs/>
          <w:lang w:val="es-ES"/>
        </w:rPr>
      </w:pPr>
    </w:p>
    <w:p w:rsidR="009A6D05" w:rsidRDefault="009A6D05" w:rsidP="009A6D05">
      <w:pPr>
        <w:spacing w:line="360" w:lineRule="auto"/>
        <w:rPr>
          <w:b/>
          <w:bCs/>
          <w:lang w:val="es-ES"/>
        </w:rPr>
      </w:pPr>
    </w:p>
    <w:p w:rsidR="009A6D05" w:rsidRDefault="009A6D05" w:rsidP="009A6D05">
      <w:pPr>
        <w:spacing w:line="360" w:lineRule="auto"/>
        <w:rPr>
          <w:b/>
          <w:bCs/>
          <w:lang w:val="es-ES"/>
        </w:rPr>
      </w:pPr>
    </w:p>
    <w:p w:rsidR="009A6D05" w:rsidRDefault="009A6D05" w:rsidP="009A6D05">
      <w:pPr>
        <w:spacing w:line="360" w:lineRule="auto"/>
        <w:rPr>
          <w:b/>
          <w:bCs/>
          <w:lang w:val="es-ES"/>
        </w:rPr>
      </w:pPr>
    </w:p>
    <w:p w:rsidR="009A6D05" w:rsidRDefault="009A6D05" w:rsidP="009A6D05">
      <w:pPr>
        <w:spacing w:line="360" w:lineRule="auto"/>
        <w:rPr>
          <w:b/>
          <w:bCs/>
          <w:lang w:val="es-ES"/>
        </w:rPr>
      </w:pPr>
    </w:p>
    <w:p w:rsidR="009A6D05" w:rsidRDefault="009A6D05" w:rsidP="009A6D05">
      <w:pPr>
        <w:spacing w:line="360" w:lineRule="auto"/>
        <w:rPr>
          <w:b/>
          <w:bCs/>
          <w:lang w:val="es-ES"/>
        </w:rPr>
      </w:pPr>
    </w:p>
    <w:p w:rsidR="004F03D4" w:rsidRDefault="004F03D4" w:rsidP="009A6D05">
      <w:pPr>
        <w:spacing w:line="360" w:lineRule="auto"/>
      </w:pPr>
    </w:p>
    <w:p w:rsidR="004F03D4" w:rsidRDefault="004F03D4" w:rsidP="009A6D05">
      <w:pPr>
        <w:spacing w:line="360" w:lineRule="auto"/>
      </w:pPr>
    </w:p>
    <w:p w:rsidR="004F03D4" w:rsidRDefault="004F03D4" w:rsidP="009A6D05">
      <w:pPr>
        <w:spacing w:line="360" w:lineRule="auto"/>
      </w:pPr>
    </w:p>
    <w:p w:rsidR="004F03D4" w:rsidRDefault="004F03D4" w:rsidP="009A6D05">
      <w:pPr>
        <w:spacing w:line="360" w:lineRule="auto"/>
        <w:rPr>
          <w:b/>
          <w:bCs/>
          <w:lang w:val="es-ES"/>
        </w:rPr>
      </w:pPr>
    </w:p>
    <w:p w:rsidR="004F03D4" w:rsidRDefault="004F03D4" w:rsidP="004F03D4">
      <w:pPr>
        <w:rPr>
          <w:b/>
          <w:bCs/>
        </w:rPr>
      </w:pPr>
    </w:p>
    <w:p w:rsidR="004F03D4" w:rsidRDefault="004F03D4" w:rsidP="004F03D4">
      <w:pPr>
        <w:rPr>
          <w:b/>
          <w:bCs/>
        </w:rPr>
      </w:pPr>
    </w:p>
    <w:p w:rsidR="004F03D4" w:rsidRDefault="004F03D4" w:rsidP="004F03D4">
      <w:pPr>
        <w:spacing w:line="360" w:lineRule="auto"/>
      </w:pPr>
    </w:p>
    <w:p w:rsidR="004F03D4" w:rsidRPr="00B432C6" w:rsidRDefault="004F03D4" w:rsidP="00B432C6">
      <w:pPr>
        <w:spacing w:line="360" w:lineRule="auto"/>
      </w:pPr>
    </w:p>
    <w:p w:rsidR="004F03D4" w:rsidRPr="00B432C6" w:rsidRDefault="004F03D4" w:rsidP="00B432C6">
      <w:pPr>
        <w:spacing w:line="360" w:lineRule="auto"/>
      </w:pPr>
    </w:p>
    <w:p w:rsidR="00B432C6" w:rsidRPr="004B4274" w:rsidRDefault="004F03D4" w:rsidP="00B432C6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7" w:name="_GoBack"/>
      <w:bookmarkEnd w:id="7"/>
      <w:r>
        <w:rPr>
          <w:rFonts w:ascii="Arial" w:eastAsia="Calibri" w:hAnsi="Arial" w:cs="Arial"/>
          <w:sz w:val="24"/>
          <w:szCs w:val="24"/>
          <w:lang w:val="es-MX"/>
        </w:rPr>
        <w:br w:type="page"/>
      </w:r>
      <w:bookmarkStart w:id="8" w:name="_Toc375599652"/>
      <w:bookmarkStart w:id="9" w:name="_Toc420346107"/>
      <w:bookmarkStart w:id="10" w:name="_Toc48489044"/>
      <w:r w:rsidR="00B432C6"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8"/>
      <w:bookmarkEnd w:id="9"/>
      <w:bookmarkEnd w:id="10"/>
    </w:p>
    <w:p w:rsidR="00B432C6" w:rsidRDefault="00B432C6" w:rsidP="00B432C6">
      <w:pPr>
        <w:spacing w:line="360" w:lineRule="auto"/>
      </w:pP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:rsidR="00CA4640" w:rsidRPr="006230FC" w:rsidRDefault="00CA4640" w:rsidP="00CA4640">
      <w:pPr>
        <w:tabs>
          <w:tab w:val="left" w:pos="708"/>
          <w:tab w:val="left" w:pos="1416"/>
          <w:tab w:val="left" w:pos="2124"/>
          <w:tab w:val="left" w:pos="7518"/>
        </w:tabs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  <w:r>
        <w:rPr>
          <w:rFonts w:cs="Arial"/>
        </w:rPr>
        <w:tab/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:rsidR="00CA4640" w:rsidRPr="006230FC" w:rsidRDefault="00CA4640" w:rsidP="00CA464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:rsidR="00CA4640" w:rsidRPr="006230FC" w:rsidRDefault="00CA4640" w:rsidP="00CA4640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:rsidR="00CA4640" w:rsidRDefault="00CA4640" w:rsidP="00CA4640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:rsidR="00CA4640" w:rsidRPr="006230FC" w:rsidRDefault="00CA4640" w:rsidP="00CA4640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:rsidR="00CA4640" w:rsidRPr="006230FC" w:rsidRDefault="00CA4640" w:rsidP="00CA464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:rsidR="00CA4640" w:rsidRPr="006230FC" w:rsidRDefault="00CA4640" w:rsidP="00CA4640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:rsidR="00CA4640" w:rsidRPr="006230FC" w:rsidRDefault="00CA4640" w:rsidP="00CA4640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:rsidR="00CA4640" w:rsidRDefault="00CA4640" w:rsidP="00CA4640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D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Responsabilidad Social</w:t>
      </w:r>
    </w:p>
    <w:p w:rsidR="00CA4640" w:rsidRDefault="00CA4640" w:rsidP="00CA4640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Integridad Empresarial</w:t>
      </w:r>
    </w:p>
    <w:p w:rsidR="00CA4640" w:rsidRPr="006230FC" w:rsidRDefault="00CA4640" w:rsidP="00CA4640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:rsidR="00CA4640" w:rsidRPr="006230FC" w:rsidRDefault="00CA4640" w:rsidP="00CA4640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:rsidR="00CA4640" w:rsidRPr="006230FC" w:rsidRDefault="00CA4640" w:rsidP="00CA4640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:rsidR="00CA4640" w:rsidRDefault="00CA4640" w:rsidP="00CA4640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:rsidR="00CA4640" w:rsidRPr="006230FC" w:rsidRDefault="00CA4640" w:rsidP="00CA4640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:rsidR="00CA4640" w:rsidRPr="006230FC" w:rsidRDefault="00CA4640" w:rsidP="00CA464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:rsidR="00CA4640" w:rsidRPr="006230FC" w:rsidRDefault="00CA4640" w:rsidP="00CA4640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:rsidR="00CA4640" w:rsidRPr="006230FC" w:rsidRDefault="00CA4640" w:rsidP="00CA4640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:rsidR="00CA4640" w:rsidRPr="006230FC" w:rsidRDefault="00CA4640" w:rsidP="00CA4640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:rsidR="00CA4640" w:rsidRPr="006230FC" w:rsidRDefault="00CA4640" w:rsidP="00CA4640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:rsidR="00CA4640" w:rsidRPr="006230FC" w:rsidRDefault="00CA4640" w:rsidP="00CA4640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:rsidR="00CA4640" w:rsidRPr="006230FC" w:rsidRDefault="00CA4640" w:rsidP="00CA464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lastRenderedPageBreak/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:rsidR="00CA4640" w:rsidRPr="006230FC" w:rsidRDefault="00CA4640" w:rsidP="00CA464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:rsidR="00CA4640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:rsidR="00CA4640" w:rsidRDefault="00CA4640" w:rsidP="00CA4640">
      <w:pPr>
        <w:spacing w:line="360" w:lineRule="auto"/>
        <w:rPr>
          <w:rFonts w:cs="Arial"/>
        </w:rPr>
      </w:pPr>
      <w:r>
        <w:rPr>
          <w:rFonts w:cs="Arial"/>
        </w:rPr>
        <w:t>PIE</w:t>
      </w:r>
      <w:r>
        <w:rPr>
          <w:rFonts w:cs="Arial"/>
        </w:rPr>
        <w:tab/>
      </w:r>
      <w:r>
        <w:rPr>
          <w:rFonts w:cs="Arial"/>
        </w:rPr>
        <w:tab/>
        <w:t>Programa de Integridad Empresarial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:rsidR="00CA4640" w:rsidRDefault="00CA4640" w:rsidP="00CA4640">
      <w:pPr>
        <w:spacing w:line="360" w:lineRule="auto"/>
        <w:jc w:val="both"/>
        <w:rPr>
          <w:rFonts w:cs="Arial"/>
        </w:rPr>
      </w:pPr>
      <w:r>
        <w:rPr>
          <w:rFonts w:cs="Arial"/>
        </w:rPr>
        <w:t>PRS</w:t>
      </w:r>
      <w:r>
        <w:rPr>
          <w:rFonts w:cs="Arial"/>
        </w:rPr>
        <w:tab/>
      </w:r>
      <w:r>
        <w:rPr>
          <w:rFonts w:cs="Arial"/>
        </w:rPr>
        <w:tab/>
        <w:t>Programa de Responsabilidad Social</w:t>
      </w:r>
    </w:p>
    <w:p w:rsidR="00CA4640" w:rsidRDefault="00CA4640" w:rsidP="00CA4640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:rsidR="00CA4640" w:rsidRPr="006230FC" w:rsidRDefault="00CA4640" w:rsidP="00CA4640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:rsidR="00CA4640" w:rsidRPr="006230FC" w:rsidRDefault="00CA4640" w:rsidP="00CA4640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Sub-investigador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:rsidR="00CA4640" w:rsidRDefault="00CA4640" w:rsidP="00CA4640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:rsidR="00CA4640" w:rsidRPr="006230FC" w:rsidRDefault="00CA4640" w:rsidP="00CA4640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:rsidR="00153CEB" w:rsidRDefault="00153CEB" w:rsidP="00153CEB">
      <w:pPr>
        <w:spacing w:line="360" w:lineRule="auto"/>
        <w:rPr>
          <w:rFonts w:cs="Arial"/>
        </w:rPr>
      </w:pPr>
    </w:p>
    <w:p w:rsidR="00B432C6" w:rsidRDefault="00454AF5" w:rsidP="00AE148C">
      <w:pPr>
        <w:spacing w:line="360" w:lineRule="auto"/>
        <w:jc w:val="both"/>
        <w:rPr>
          <w:rFonts w:eastAsia="Calibri" w:cs="Arial"/>
          <w:b/>
          <w:bCs/>
          <w:kern w:val="28"/>
        </w:rPr>
      </w:pPr>
      <w:r>
        <w:rPr>
          <w:rFonts w:eastAsia="Calibri" w:cs="Arial"/>
        </w:rPr>
        <w:t xml:space="preserve"> </w:t>
      </w:r>
      <w:r w:rsidR="00B432C6">
        <w:rPr>
          <w:rFonts w:eastAsia="Calibri" w:cs="Arial"/>
        </w:rPr>
        <w:br w:type="page"/>
      </w:r>
    </w:p>
    <w:p w:rsidR="00963006" w:rsidRDefault="00963006" w:rsidP="00B432C6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bookmarkStart w:id="11" w:name="_Toc48489045"/>
      <w:r>
        <w:rPr>
          <w:rFonts w:ascii="Arial" w:eastAsia="Calibri" w:hAnsi="Arial" w:cs="Arial"/>
          <w:sz w:val="24"/>
          <w:szCs w:val="24"/>
          <w:lang w:val="es-MX"/>
        </w:rPr>
        <w:lastRenderedPageBreak/>
        <w:t>IT-SC-</w:t>
      </w:r>
      <w:r w:rsidR="00533B6D">
        <w:rPr>
          <w:rFonts w:ascii="Arial" w:eastAsia="Calibri" w:hAnsi="Arial" w:cs="Arial"/>
          <w:sz w:val="24"/>
          <w:szCs w:val="24"/>
          <w:lang w:val="es-MX"/>
        </w:rPr>
        <w:t>5</w:t>
      </w:r>
      <w:r w:rsidR="00B432C6">
        <w:rPr>
          <w:rFonts w:ascii="Arial" w:eastAsia="Calibri" w:hAnsi="Arial" w:cs="Arial"/>
          <w:sz w:val="24"/>
          <w:szCs w:val="24"/>
          <w:lang w:val="es-MX"/>
        </w:rPr>
        <w:t>.</w:t>
      </w:r>
      <w:r w:rsidR="00533B6D">
        <w:rPr>
          <w:rFonts w:ascii="Arial" w:eastAsia="Calibri" w:hAnsi="Arial" w:cs="Arial"/>
          <w:sz w:val="24"/>
          <w:szCs w:val="24"/>
          <w:lang w:val="es-MX"/>
        </w:rPr>
        <w:t>4</w:t>
      </w:r>
      <w:r>
        <w:rPr>
          <w:rFonts w:ascii="Arial" w:eastAsia="Calibri" w:hAnsi="Arial" w:cs="Arial"/>
          <w:sz w:val="24"/>
          <w:szCs w:val="24"/>
          <w:lang w:val="es-MX"/>
        </w:rPr>
        <w:t xml:space="preserve"> </w:t>
      </w:r>
      <w:r w:rsidR="00D476D7">
        <w:rPr>
          <w:rFonts w:ascii="Arial" w:eastAsia="Calibri" w:hAnsi="Arial" w:cs="Arial"/>
          <w:sz w:val="24"/>
          <w:szCs w:val="24"/>
          <w:lang w:val="es-MX"/>
        </w:rPr>
        <w:t>Farmacovigilancia</w:t>
      </w:r>
      <w:bookmarkEnd w:id="11"/>
    </w:p>
    <w:p w:rsidR="00963006" w:rsidRPr="00963006" w:rsidRDefault="00963006" w:rsidP="00FC22DE">
      <w:pPr>
        <w:spacing w:line="360" w:lineRule="auto"/>
        <w:rPr>
          <w:rFonts w:cs="Arial"/>
        </w:rPr>
      </w:pPr>
    </w:p>
    <w:p w:rsidR="002E4A33" w:rsidRPr="00CA4640" w:rsidRDefault="002E4A33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CA4640">
        <w:rPr>
          <w:rFonts w:cs="Arial"/>
        </w:rPr>
        <w:t>La Farmacovigilancia son las actividades relacionadas con la detección, evaluación, comprensión y prevención de los eventos adversos, las sospechas de reacciones adversas, las reacciones adversas, los eventos supuestamente atribuibles a la vacunación o inmunización, o cualquier otro problema de seguridad relacionado con el uso de medicamentos y vacunas.</w:t>
      </w:r>
    </w:p>
    <w:p w:rsidR="002E4A33" w:rsidRPr="00CA4640" w:rsidRDefault="002E4A33" w:rsidP="00CA4640">
      <w:pPr>
        <w:spacing w:line="360" w:lineRule="auto"/>
        <w:ind w:left="360"/>
        <w:jc w:val="both"/>
        <w:rPr>
          <w:rFonts w:cs="Arial"/>
        </w:rPr>
      </w:pPr>
    </w:p>
    <w:p w:rsidR="00963006" w:rsidRPr="00CA4640" w:rsidRDefault="00963006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CA4640">
        <w:rPr>
          <w:rFonts w:cs="Arial"/>
        </w:rPr>
        <w:t xml:space="preserve">Un evento adverso (EA) es cualquier </w:t>
      </w:r>
      <w:r w:rsidR="00F274B5" w:rsidRPr="00CA4640">
        <w:rPr>
          <w:rFonts w:cs="Arial"/>
        </w:rPr>
        <w:t>suceso</w:t>
      </w:r>
      <w:r w:rsidRPr="00CA4640">
        <w:rPr>
          <w:rFonts w:cs="Arial"/>
        </w:rPr>
        <w:t xml:space="preserve"> </w:t>
      </w:r>
      <w:r w:rsidR="00F274B5" w:rsidRPr="00CA4640">
        <w:rPr>
          <w:rFonts w:cs="Arial"/>
        </w:rPr>
        <w:t xml:space="preserve">médico indeseable que se presente </w:t>
      </w:r>
      <w:r w:rsidRPr="00CA4640">
        <w:rPr>
          <w:rFonts w:cs="Arial"/>
        </w:rPr>
        <w:t xml:space="preserve">en un sujeto de investigación </w:t>
      </w:r>
      <w:r w:rsidR="00F274B5" w:rsidRPr="00CA4640">
        <w:rPr>
          <w:rFonts w:cs="Arial"/>
        </w:rPr>
        <w:t xml:space="preserve">durante la etapa de investigación clínica. </w:t>
      </w:r>
      <w:r w:rsidR="002E4A33" w:rsidRPr="00CA4640">
        <w:rPr>
          <w:rFonts w:cs="Arial"/>
        </w:rPr>
        <w:t xml:space="preserve">Los EA </w:t>
      </w:r>
      <w:r w:rsidR="00F274B5" w:rsidRPr="00CA4640">
        <w:rPr>
          <w:rFonts w:cs="Arial"/>
          <w:b/>
        </w:rPr>
        <w:t>N</w:t>
      </w:r>
      <w:r w:rsidR="002E4A33" w:rsidRPr="00CA4640">
        <w:rPr>
          <w:rFonts w:cs="Arial"/>
          <w:b/>
        </w:rPr>
        <w:t>O</w:t>
      </w:r>
      <w:r w:rsidR="00F274B5" w:rsidRPr="00CA4640">
        <w:rPr>
          <w:rFonts w:cs="Arial"/>
          <w:b/>
        </w:rPr>
        <w:t xml:space="preserve"> </w:t>
      </w:r>
      <w:r w:rsidR="002E4A33" w:rsidRPr="00CA4640">
        <w:rPr>
          <w:rFonts w:cs="Arial"/>
          <w:b/>
        </w:rPr>
        <w:t>NECESARIAMENTE</w:t>
      </w:r>
      <w:r w:rsidR="00F274B5" w:rsidRPr="00CA4640">
        <w:rPr>
          <w:rFonts w:cs="Arial"/>
        </w:rPr>
        <w:t xml:space="preserve"> tiene relación causal con el estudio</w:t>
      </w:r>
      <w:r w:rsidRPr="00CA4640">
        <w:rPr>
          <w:rFonts w:cs="Arial"/>
        </w:rPr>
        <w:t>.</w:t>
      </w:r>
    </w:p>
    <w:p w:rsidR="00963006" w:rsidRPr="00CA4640" w:rsidRDefault="00963006" w:rsidP="00CA4640">
      <w:pPr>
        <w:spacing w:line="360" w:lineRule="auto"/>
        <w:ind w:left="720"/>
        <w:jc w:val="both"/>
        <w:rPr>
          <w:rFonts w:cs="Arial"/>
        </w:rPr>
      </w:pPr>
    </w:p>
    <w:p w:rsidR="00A337E8" w:rsidRPr="00CA4640" w:rsidRDefault="00A337E8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CA4640">
        <w:rPr>
          <w:rFonts w:cs="Arial"/>
        </w:rPr>
        <w:t>Una Sospecha de reacción adversa (SRAM) es cualquier manifestación clínica o de laboratorio no deseada que ocurre después de la administración de uno o más medicamentos.</w:t>
      </w:r>
    </w:p>
    <w:p w:rsidR="00A337E8" w:rsidRPr="00CA4640" w:rsidRDefault="00A337E8" w:rsidP="00CA4640">
      <w:pPr>
        <w:pStyle w:val="Prrafodelista"/>
        <w:spacing w:line="360" w:lineRule="auto"/>
        <w:rPr>
          <w:rFonts w:cs="Arial"/>
        </w:rPr>
      </w:pPr>
    </w:p>
    <w:p w:rsidR="002E4A33" w:rsidRPr="00CA4640" w:rsidRDefault="002E4A33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CA4640">
        <w:rPr>
          <w:rFonts w:cs="Arial"/>
        </w:rPr>
        <w:t xml:space="preserve">Una reacción adversa </w:t>
      </w:r>
      <w:r w:rsidR="00A337E8" w:rsidRPr="00CA4640">
        <w:rPr>
          <w:rFonts w:cs="Arial"/>
        </w:rPr>
        <w:t xml:space="preserve">(RAM) </w:t>
      </w:r>
      <w:r w:rsidRPr="00CA4640">
        <w:rPr>
          <w:rFonts w:cs="Arial"/>
        </w:rPr>
        <w:t>es la respuesta no deseada a un medicamento en la cual, la relación causal con este es, al menos, razonablemente atribuible.</w:t>
      </w:r>
    </w:p>
    <w:p w:rsidR="00A337E8" w:rsidRPr="00CA4640" w:rsidRDefault="00A337E8" w:rsidP="00CA4640">
      <w:pPr>
        <w:pStyle w:val="Prrafodelista"/>
        <w:spacing w:line="360" w:lineRule="auto"/>
        <w:rPr>
          <w:rFonts w:cs="Arial"/>
        </w:rPr>
      </w:pPr>
    </w:p>
    <w:p w:rsidR="00A337E8" w:rsidRDefault="00A337E8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CA4640">
        <w:rPr>
          <w:rFonts w:cs="Arial"/>
        </w:rPr>
        <w:t>Un evento supuestamente atribuible a la vacunación o inmunización (ESAVI) es</w:t>
      </w:r>
      <w:r>
        <w:rPr>
          <w:rFonts w:cs="Arial"/>
        </w:rPr>
        <w:t xml:space="preserve"> la expresión </w:t>
      </w:r>
      <w:r w:rsidR="00424529">
        <w:rPr>
          <w:rFonts w:cs="Arial"/>
        </w:rPr>
        <w:t>clínica o evento médico que ocurre después de y son supuestamente atribuidos a la vacunación o inmunización</w:t>
      </w:r>
    </w:p>
    <w:p w:rsidR="002E4A33" w:rsidRDefault="002E4A33" w:rsidP="00CA4640">
      <w:pPr>
        <w:pStyle w:val="Prrafodelista"/>
        <w:spacing w:line="360" w:lineRule="auto"/>
        <w:rPr>
          <w:rFonts w:cs="Arial"/>
        </w:rPr>
      </w:pPr>
    </w:p>
    <w:p w:rsidR="009A6D05" w:rsidRDefault="00963006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La investigación clínica implica la búsqueda intencional de E</w:t>
      </w:r>
      <w:r w:rsidR="00621C9E">
        <w:rPr>
          <w:rFonts w:cs="Arial"/>
        </w:rPr>
        <w:t>A</w:t>
      </w:r>
      <w:r>
        <w:rPr>
          <w:rFonts w:cs="Arial"/>
        </w:rPr>
        <w:t>, porque este es el principal parámetro de la seguridad de los estudios</w:t>
      </w:r>
      <w:r w:rsidR="00621C9E">
        <w:rPr>
          <w:rFonts w:cs="Arial"/>
        </w:rPr>
        <w:t xml:space="preserve">. </w:t>
      </w:r>
    </w:p>
    <w:p w:rsidR="009A6D05" w:rsidRDefault="009A6D05" w:rsidP="00CA4640">
      <w:pPr>
        <w:pStyle w:val="Prrafodelista"/>
        <w:spacing w:line="360" w:lineRule="auto"/>
        <w:rPr>
          <w:rFonts w:cs="Arial"/>
        </w:rPr>
      </w:pPr>
    </w:p>
    <w:p w:rsidR="00963006" w:rsidRDefault="00621C9E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Es responsabilidad del </w:t>
      </w:r>
      <w:r w:rsidR="009A6D05">
        <w:rPr>
          <w:rFonts w:cs="Arial"/>
        </w:rPr>
        <w:t>I</w:t>
      </w:r>
      <w:r>
        <w:rPr>
          <w:rFonts w:cs="Arial"/>
        </w:rPr>
        <w:t xml:space="preserve">nvestigador principal preguntar en forma orientada por la presencia de EA a lo largo de todo el estudio. </w:t>
      </w:r>
    </w:p>
    <w:p w:rsidR="00621C9E" w:rsidRDefault="00621C9E" w:rsidP="00CA4640">
      <w:pPr>
        <w:pStyle w:val="Prrafodelista"/>
        <w:spacing w:line="360" w:lineRule="auto"/>
        <w:rPr>
          <w:rFonts w:cs="Arial"/>
        </w:rPr>
      </w:pPr>
    </w:p>
    <w:p w:rsidR="009A6D05" w:rsidRDefault="009A6D05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Es responsabilidad de todo el personal del estudio reportar al Investigador principal todos los EA que sean de su conocimiento.</w:t>
      </w:r>
    </w:p>
    <w:p w:rsidR="009A6D05" w:rsidRDefault="009A6D05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>Es responsabilidad del Coordinador de estudios contactar a los familiares del sujeto cuando sea necesario complementar la información relacionada a un sujeto. También asegurar el reporte completo de todos los EA.</w:t>
      </w:r>
    </w:p>
    <w:p w:rsidR="009A6D05" w:rsidRDefault="009A6D05" w:rsidP="00CA4640">
      <w:pPr>
        <w:pStyle w:val="Prrafodelista"/>
        <w:spacing w:line="360" w:lineRule="auto"/>
        <w:rPr>
          <w:rFonts w:cs="Arial"/>
        </w:rPr>
      </w:pPr>
    </w:p>
    <w:p w:rsidR="001A28C7" w:rsidRDefault="001A28C7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Es responsabilidad de la empresa capacitar al personal del </w:t>
      </w:r>
      <w:r w:rsidR="00B432C6">
        <w:rPr>
          <w:rFonts w:cs="Arial"/>
        </w:rPr>
        <w:t>S</w:t>
      </w:r>
      <w:r>
        <w:rPr>
          <w:rFonts w:cs="Arial"/>
        </w:rPr>
        <w:t xml:space="preserve">itio </w:t>
      </w:r>
      <w:r w:rsidR="00B432C6">
        <w:rPr>
          <w:rFonts w:cs="Arial"/>
        </w:rPr>
        <w:t>C</w:t>
      </w:r>
      <w:r>
        <w:rPr>
          <w:rFonts w:cs="Arial"/>
        </w:rPr>
        <w:t>línico en el reporte y seguimiento de EA.</w:t>
      </w:r>
    </w:p>
    <w:p w:rsidR="001A28C7" w:rsidRDefault="001A28C7" w:rsidP="00CA4640">
      <w:pPr>
        <w:pStyle w:val="Prrafodelista"/>
        <w:spacing w:line="360" w:lineRule="auto"/>
        <w:rPr>
          <w:rFonts w:cs="Arial"/>
        </w:rPr>
      </w:pPr>
    </w:p>
    <w:p w:rsidR="00621C9E" w:rsidRPr="00E91360" w:rsidRDefault="00621C9E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Los EA se reportan siguiendo la NOM-220-SSA1. Instalación y operación de </w:t>
      </w:r>
      <w:r w:rsidRPr="00E91360">
        <w:rPr>
          <w:rFonts w:cs="Arial"/>
        </w:rPr>
        <w:t xml:space="preserve">la farmacovigilancia. </w:t>
      </w:r>
      <w:r w:rsidR="00E91360" w:rsidRPr="00E91360">
        <w:rPr>
          <w:rFonts w:cs="Arial"/>
        </w:rPr>
        <w:t>Para ello, se utiliza el FC</w:t>
      </w:r>
      <w:r w:rsidRPr="00E91360">
        <w:rPr>
          <w:rFonts w:cs="Arial"/>
        </w:rPr>
        <w:t xml:space="preserve"> Eventos adversos.</w:t>
      </w:r>
    </w:p>
    <w:p w:rsidR="00621C9E" w:rsidRDefault="00621C9E" w:rsidP="00CA4640">
      <w:pPr>
        <w:pStyle w:val="Prrafodelista"/>
        <w:spacing w:line="360" w:lineRule="auto"/>
        <w:rPr>
          <w:rFonts w:cs="Arial"/>
        </w:rPr>
      </w:pPr>
    </w:p>
    <w:p w:rsidR="00621C9E" w:rsidRDefault="00621C9E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EE0F93">
        <w:rPr>
          <w:rFonts w:cs="Arial"/>
        </w:rPr>
        <w:t xml:space="preserve">Al reportar un evento, </w:t>
      </w:r>
      <w:r w:rsidR="00EE0F93" w:rsidRPr="00EE0F93">
        <w:rPr>
          <w:rFonts w:cs="Arial"/>
        </w:rPr>
        <w:t xml:space="preserve">se debe </w:t>
      </w:r>
      <w:r w:rsidRPr="00EE0F93">
        <w:rPr>
          <w:rFonts w:cs="Arial"/>
        </w:rPr>
        <w:t>consider</w:t>
      </w:r>
      <w:r w:rsidR="00EE0F93" w:rsidRPr="00EE0F93">
        <w:rPr>
          <w:rFonts w:cs="Arial"/>
        </w:rPr>
        <w:t>ar</w:t>
      </w:r>
      <w:r w:rsidRPr="00EE0F93">
        <w:rPr>
          <w:rFonts w:cs="Arial"/>
        </w:rPr>
        <w:t xml:space="preserve"> la posibilidad de integrar un diagnóstico.</w:t>
      </w:r>
      <w:r w:rsidR="00952812" w:rsidRPr="00EE0F93">
        <w:rPr>
          <w:rFonts w:cs="Arial"/>
        </w:rPr>
        <w:t xml:space="preserve"> </w:t>
      </w:r>
    </w:p>
    <w:p w:rsidR="00EE0F93" w:rsidRDefault="00EE0F93" w:rsidP="00CA4640">
      <w:pPr>
        <w:pStyle w:val="Prrafodelista"/>
        <w:spacing w:line="360" w:lineRule="auto"/>
        <w:rPr>
          <w:rFonts w:cs="Arial"/>
        </w:rPr>
      </w:pPr>
    </w:p>
    <w:p w:rsidR="00200258" w:rsidRDefault="00200258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Los EA se consideran de intensidad leve cuando son fácilmente tolerados</w:t>
      </w:r>
      <w:r w:rsidR="008E4262">
        <w:rPr>
          <w:rFonts w:cs="Arial"/>
        </w:rPr>
        <w:t xml:space="preserve"> y</w:t>
      </w:r>
      <w:r>
        <w:rPr>
          <w:rFonts w:cs="Arial"/>
        </w:rPr>
        <w:t xml:space="preserve"> no ameritan tratamiento; moderada, cuando </w:t>
      </w:r>
      <w:r w:rsidR="008E4262">
        <w:rPr>
          <w:rFonts w:cs="Arial"/>
        </w:rPr>
        <w:t xml:space="preserve">interfieren con las actividades habituales o </w:t>
      </w:r>
      <w:r>
        <w:rPr>
          <w:rFonts w:cs="Arial"/>
        </w:rPr>
        <w:t>ameritan tratamiento</w:t>
      </w:r>
      <w:r w:rsidR="008E4262">
        <w:rPr>
          <w:rFonts w:cs="Arial"/>
        </w:rPr>
        <w:t xml:space="preserve"> y severos de acuerdo a su intensidad.</w:t>
      </w:r>
    </w:p>
    <w:p w:rsidR="00200258" w:rsidRDefault="00200258" w:rsidP="00CA4640">
      <w:pPr>
        <w:pStyle w:val="Prrafodelista"/>
        <w:spacing w:line="360" w:lineRule="auto"/>
        <w:rPr>
          <w:rFonts w:cs="Arial"/>
        </w:rPr>
      </w:pPr>
    </w:p>
    <w:p w:rsidR="00621C9E" w:rsidRPr="00E91360" w:rsidRDefault="00200258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E91360">
        <w:rPr>
          <w:rFonts w:cs="Arial"/>
        </w:rPr>
        <w:t>Cuando el sujeto utilice medicación para trat</w:t>
      </w:r>
      <w:r w:rsidR="00184B6F">
        <w:rPr>
          <w:rFonts w:cs="Arial"/>
        </w:rPr>
        <w:t>ar un EA, deberá llenarse el FC</w:t>
      </w:r>
      <w:r w:rsidRPr="00E91360">
        <w:rPr>
          <w:rFonts w:cs="Arial"/>
        </w:rPr>
        <w:t xml:space="preserve"> Medicamentos concomitantes.</w:t>
      </w:r>
    </w:p>
    <w:p w:rsidR="00200258" w:rsidRDefault="00200258" w:rsidP="00CA4640">
      <w:pPr>
        <w:pStyle w:val="Prrafodelista"/>
        <w:spacing w:line="360" w:lineRule="auto"/>
        <w:rPr>
          <w:rFonts w:cs="Arial"/>
        </w:rPr>
      </w:pPr>
    </w:p>
    <w:p w:rsidR="008E4262" w:rsidRDefault="008E4262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La relación de un EA con el medicamento de estudio puede ser:</w:t>
      </w:r>
    </w:p>
    <w:p w:rsidR="008E4262" w:rsidRDefault="008E4262" w:rsidP="00CA4640">
      <w:pPr>
        <w:pStyle w:val="Prrafodelista"/>
        <w:spacing w:line="360" w:lineRule="auto"/>
        <w:rPr>
          <w:rFonts w:cs="Arial"/>
        </w:rPr>
      </w:pPr>
    </w:p>
    <w:p w:rsidR="008E4262" w:rsidRDefault="008E4262" w:rsidP="00CA4640">
      <w:pPr>
        <w:numPr>
          <w:ilvl w:val="1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Definitiva – cuando el evento sucede después de la ingesta del medicamento de estudio; no puede ser justificado por la historia natural de la enfermedad, la presencia de otra patología o el uso de un medicamento concomitante y hay una respuesta evidente al suspender el medicamento de estudio.</w:t>
      </w:r>
    </w:p>
    <w:p w:rsidR="008E4262" w:rsidRDefault="008E4262" w:rsidP="00CA4640">
      <w:pPr>
        <w:spacing w:line="360" w:lineRule="auto"/>
        <w:ind w:left="1440"/>
        <w:jc w:val="both"/>
        <w:rPr>
          <w:rFonts w:cs="Arial"/>
        </w:rPr>
      </w:pPr>
    </w:p>
    <w:p w:rsidR="008E4262" w:rsidRDefault="008E4262" w:rsidP="00CA4640">
      <w:pPr>
        <w:numPr>
          <w:ilvl w:val="1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Probable – cuando el evento sucede después de la ingesta</w:t>
      </w:r>
      <w:r w:rsidRPr="008E4262">
        <w:rPr>
          <w:rFonts w:cs="Arial"/>
        </w:rPr>
        <w:t xml:space="preserve"> </w:t>
      </w:r>
      <w:r>
        <w:rPr>
          <w:rFonts w:cs="Arial"/>
        </w:rPr>
        <w:t xml:space="preserve">del medicamento de estudio; difícilmente puede ser justificado por la historia natural de la enfermedad, la presencia de otra patología o el uso de un </w:t>
      </w:r>
      <w:r>
        <w:rPr>
          <w:rFonts w:cs="Arial"/>
        </w:rPr>
        <w:lastRenderedPageBreak/>
        <w:t>medicamento concomitante</w:t>
      </w:r>
      <w:r w:rsidRPr="008E4262">
        <w:rPr>
          <w:rFonts w:cs="Arial"/>
        </w:rPr>
        <w:t xml:space="preserve"> </w:t>
      </w:r>
      <w:r>
        <w:rPr>
          <w:rFonts w:cs="Arial"/>
        </w:rPr>
        <w:t>y hay una respuesta razonable al suspender el medicamento de estudio.</w:t>
      </w:r>
    </w:p>
    <w:p w:rsidR="008E4262" w:rsidRDefault="008E4262" w:rsidP="00CA4640">
      <w:pPr>
        <w:pStyle w:val="Prrafodelista"/>
        <w:spacing w:line="360" w:lineRule="auto"/>
        <w:rPr>
          <w:rFonts w:cs="Arial"/>
        </w:rPr>
      </w:pPr>
    </w:p>
    <w:p w:rsidR="008E4262" w:rsidRDefault="008E4262" w:rsidP="00CA4640">
      <w:pPr>
        <w:numPr>
          <w:ilvl w:val="1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Posible – cuando el evento sucede después de la ingesta</w:t>
      </w:r>
      <w:r w:rsidRPr="008E4262">
        <w:rPr>
          <w:rFonts w:cs="Arial"/>
        </w:rPr>
        <w:t xml:space="preserve"> </w:t>
      </w:r>
      <w:r>
        <w:rPr>
          <w:rFonts w:cs="Arial"/>
        </w:rPr>
        <w:t>del medicamento de estudio; puede ser justificado por la historia natural de la enfermedad, la presencia de otra patología o el uso de un medicamento concomitante</w:t>
      </w:r>
      <w:r w:rsidRPr="008E4262">
        <w:rPr>
          <w:rFonts w:cs="Arial"/>
        </w:rPr>
        <w:t xml:space="preserve"> </w:t>
      </w:r>
      <w:r>
        <w:rPr>
          <w:rFonts w:cs="Arial"/>
        </w:rPr>
        <w:t>y la respuesta al suspender el medicamento de estudio es incierta.</w:t>
      </w:r>
    </w:p>
    <w:p w:rsidR="008E4262" w:rsidRDefault="008E4262" w:rsidP="00CA4640">
      <w:pPr>
        <w:pStyle w:val="Prrafodelista"/>
        <w:spacing w:line="360" w:lineRule="auto"/>
        <w:rPr>
          <w:rFonts w:cs="Arial"/>
        </w:rPr>
      </w:pPr>
    </w:p>
    <w:p w:rsidR="008E4262" w:rsidRDefault="008E4262" w:rsidP="00CA4640">
      <w:pPr>
        <w:numPr>
          <w:ilvl w:val="1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Dudosa – cuando el evento no tiene relación con la ingesta</w:t>
      </w:r>
      <w:r w:rsidRPr="008E4262">
        <w:rPr>
          <w:rFonts w:cs="Arial"/>
        </w:rPr>
        <w:t xml:space="preserve"> </w:t>
      </w:r>
      <w:r>
        <w:rPr>
          <w:rFonts w:cs="Arial"/>
        </w:rPr>
        <w:t>del medicamento de estudio; puede ser justificado por la historia natural de la enfermedad, la presencia de otra patología o el uso de un medicamento concomitante</w:t>
      </w:r>
      <w:r w:rsidRPr="008E4262">
        <w:rPr>
          <w:rFonts w:cs="Arial"/>
        </w:rPr>
        <w:t xml:space="preserve"> </w:t>
      </w:r>
      <w:r>
        <w:rPr>
          <w:rFonts w:cs="Arial"/>
        </w:rPr>
        <w:t>y la respuesta al suspender el medicamento de estudio es incierta.</w:t>
      </w:r>
    </w:p>
    <w:p w:rsidR="008E4262" w:rsidRDefault="008E4262" w:rsidP="00CA4640">
      <w:pPr>
        <w:spacing w:line="360" w:lineRule="auto"/>
        <w:ind w:left="1440"/>
        <w:jc w:val="both"/>
        <w:rPr>
          <w:rFonts w:cs="Arial"/>
        </w:rPr>
      </w:pPr>
    </w:p>
    <w:p w:rsidR="008E4262" w:rsidRDefault="008E4262" w:rsidP="00CA4640">
      <w:pPr>
        <w:numPr>
          <w:ilvl w:val="1"/>
          <w:numId w:val="5"/>
        </w:numPr>
        <w:spacing w:line="360" w:lineRule="auto"/>
        <w:jc w:val="both"/>
        <w:rPr>
          <w:rFonts w:cs="Arial"/>
        </w:rPr>
      </w:pPr>
      <w:r w:rsidRPr="008E4262">
        <w:rPr>
          <w:rFonts w:cs="Arial"/>
        </w:rPr>
        <w:t>No relacionado –</w:t>
      </w:r>
      <w:r>
        <w:rPr>
          <w:rFonts w:cs="Arial"/>
        </w:rPr>
        <w:t xml:space="preserve"> cuando el evento no tiene relación con la ingesta</w:t>
      </w:r>
      <w:r w:rsidRPr="008E4262">
        <w:rPr>
          <w:rFonts w:cs="Arial"/>
        </w:rPr>
        <w:t xml:space="preserve"> </w:t>
      </w:r>
      <w:r>
        <w:rPr>
          <w:rFonts w:cs="Arial"/>
        </w:rPr>
        <w:t>del medicamento de estudio; puede ser justificado por la historia natural de la enfermedad, la presencia de otra patología o el uso de un medicamento concomitante</w:t>
      </w:r>
      <w:r w:rsidRPr="008E4262">
        <w:rPr>
          <w:rFonts w:cs="Arial"/>
        </w:rPr>
        <w:t xml:space="preserve"> </w:t>
      </w:r>
      <w:r>
        <w:rPr>
          <w:rFonts w:cs="Arial"/>
        </w:rPr>
        <w:t>y no se modifica al suspender el medicamento de estudio.</w:t>
      </w:r>
    </w:p>
    <w:p w:rsidR="008E4262" w:rsidRPr="008E4262" w:rsidRDefault="008E4262" w:rsidP="00CA4640">
      <w:pPr>
        <w:spacing w:line="360" w:lineRule="auto"/>
        <w:ind w:left="1440"/>
        <w:jc w:val="both"/>
        <w:rPr>
          <w:rFonts w:cs="Arial"/>
        </w:rPr>
      </w:pPr>
    </w:p>
    <w:p w:rsidR="008E4262" w:rsidRDefault="008E4262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Se considera un Evento Adverso S</w:t>
      </w:r>
      <w:r w:rsidRPr="00200258">
        <w:rPr>
          <w:rFonts w:cs="Arial"/>
        </w:rPr>
        <w:t xml:space="preserve">erio (EAS) cuando pone en </w:t>
      </w:r>
      <w:r>
        <w:rPr>
          <w:rFonts w:cs="Arial"/>
        </w:rPr>
        <w:t>p</w:t>
      </w:r>
      <w:r w:rsidRPr="00200258">
        <w:rPr>
          <w:rFonts w:cs="Arial"/>
        </w:rPr>
        <w:t xml:space="preserve">eligro a la vida o causa la muerte, amerita hospitalización, causa incapacidad o invalidez, causa malformaciones, o es letal. </w:t>
      </w:r>
    </w:p>
    <w:p w:rsidR="008E4262" w:rsidRDefault="008E4262" w:rsidP="00CA4640">
      <w:pPr>
        <w:pStyle w:val="Prrafodelista"/>
        <w:spacing w:line="360" w:lineRule="auto"/>
        <w:rPr>
          <w:rFonts w:cs="Arial"/>
        </w:rPr>
      </w:pPr>
    </w:p>
    <w:p w:rsidR="008E4262" w:rsidRDefault="008E4262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Los EA de intensidad severa no necesariamente son EAS (Ej. Dolor).</w:t>
      </w:r>
    </w:p>
    <w:p w:rsidR="003D4BF8" w:rsidRDefault="003D4BF8" w:rsidP="00CA4640">
      <w:pPr>
        <w:pStyle w:val="Prrafodelista"/>
        <w:spacing w:line="360" w:lineRule="auto"/>
        <w:rPr>
          <w:rFonts w:cs="Arial"/>
        </w:rPr>
      </w:pPr>
    </w:p>
    <w:p w:rsidR="009A6D05" w:rsidRDefault="003D4BF8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Los EAS deben ser consignados en la nota médica y en un formato especial proporcionado por el patrocinador</w:t>
      </w:r>
      <w:r w:rsidR="009A6D05">
        <w:rPr>
          <w:rFonts w:cs="Arial"/>
        </w:rPr>
        <w:t>.</w:t>
      </w:r>
    </w:p>
    <w:p w:rsidR="009A6D05" w:rsidRDefault="009A6D05" w:rsidP="00CA4640">
      <w:pPr>
        <w:pStyle w:val="Prrafodelista"/>
        <w:spacing w:line="360" w:lineRule="auto"/>
        <w:rPr>
          <w:rFonts w:cs="Arial"/>
        </w:rPr>
      </w:pPr>
    </w:p>
    <w:p w:rsidR="009A6D05" w:rsidRDefault="009A6D05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Los EAS </w:t>
      </w:r>
      <w:r w:rsidR="003D4BF8">
        <w:rPr>
          <w:rFonts w:cs="Arial"/>
        </w:rPr>
        <w:t>debe</w:t>
      </w:r>
      <w:r>
        <w:rPr>
          <w:rFonts w:cs="Arial"/>
        </w:rPr>
        <w:t>n</w:t>
      </w:r>
      <w:r w:rsidR="003D4BF8">
        <w:rPr>
          <w:rFonts w:cs="Arial"/>
        </w:rPr>
        <w:t xml:space="preserve"> ser </w:t>
      </w:r>
      <w:r>
        <w:rPr>
          <w:rFonts w:cs="Arial"/>
        </w:rPr>
        <w:t xml:space="preserve">reportados a la </w:t>
      </w:r>
      <w:r w:rsidR="00B432C6">
        <w:rPr>
          <w:rFonts w:cs="Arial"/>
        </w:rPr>
        <w:t>D</w:t>
      </w:r>
      <w:r>
        <w:rPr>
          <w:rFonts w:cs="Arial"/>
        </w:rPr>
        <w:t xml:space="preserve">irección y </w:t>
      </w:r>
      <w:r w:rsidR="003D4BF8">
        <w:rPr>
          <w:rFonts w:cs="Arial"/>
        </w:rPr>
        <w:t>al patrocinador antes de 24 horas a partir de su conocimiento, aun cuando no se tengan los datos completos.</w:t>
      </w:r>
    </w:p>
    <w:p w:rsidR="003D4BF8" w:rsidRDefault="009A6D05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 xml:space="preserve">Los EAS deben </w:t>
      </w:r>
      <w:r w:rsidR="003D4BF8">
        <w:rPr>
          <w:rFonts w:cs="Arial"/>
        </w:rPr>
        <w:t>ser reportados al CE</w:t>
      </w:r>
      <w:r w:rsidR="00F54EB8">
        <w:rPr>
          <w:rFonts w:cs="Arial"/>
        </w:rPr>
        <w:t xml:space="preserve"> y a la CO</w:t>
      </w:r>
      <w:r>
        <w:rPr>
          <w:rFonts w:cs="Arial"/>
        </w:rPr>
        <w:t>FEPRIS antes de 7 días a partir de su conocimiento</w:t>
      </w:r>
      <w:r w:rsidR="003D4BF8">
        <w:rPr>
          <w:rFonts w:cs="Arial"/>
        </w:rPr>
        <w:t>.</w:t>
      </w:r>
    </w:p>
    <w:p w:rsidR="003D4BF8" w:rsidRDefault="003D4BF8" w:rsidP="00CA4640">
      <w:pPr>
        <w:pStyle w:val="Prrafodelista"/>
        <w:spacing w:line="360" w:lineRule="auto"/>
        <w:rPr>
          <w:rFonts w:cs="Arial"/>
        </w:rPr>
      </w:pPr>
    </w:p>
    <w:p w:rsidR="003D4BF8" w:rsidRDefault="003D4BF8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Todos los EA ameritan seguimiento hasta su desenlace. </w:t>
      </w:r>
    </w:p>
    <w:p w:rsidR="003D4BF8" w:rsidRDefault="003D4BF8" w:rsidP="00CA4640">
      <w:pPr>
        <w:pStyle w:val="Prrafodelista"/>
        <w:spacing w:line="360" w:lineRule="auto"/>
        <w:rPr>
          <w:rFonts w:cs="Arial"/>
        </w:rPr>
      </w:pPr>
    </w:p>
    <w:p w:rsidR="003D4BF8" w:rsidRDefault="003D4BF8" w:rsidP="00CA4640">
      <w:pPr>
        <w:numPr>
          <w:ilvl w:val="0"/>
          <w:numId w:val="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En caso de embarazo durante el desarrollo de una investigación, deberá darse seguimiento </w:t>
      </w:r>
      <w:r w:rsidR="009A6D05">
        <w:rPr>
          <w:rFonts w:cs="Arial"/>
        </w:rPr>
        <w:t xml:space="preserve">hasta </w:t>
      </w:r>
      <w:r w:rsidR="006419C7">
        <w:rPr>
          <w:rFonts w:cs="Arial"/>
        </w:rPr>
        <w:t xml:space="preserve">el </w:t>
      </w:r>
      <w:r w:rsidR="009A6D05">
        <w:rPr>
          <w:rFonts w:cs="Arial"/>
        </w:rPr>
        <w:t xml:space="preserve">término </w:t>
      </w:r>
      <w:r w:rsidR="006419C7">
        <w:rPr>
          <w:rFonts w:cs="Arial"/>
        </w:rPr>
        <w:t xml:space="preserve">de la gestación, </w:t>
      </w:r>
      <w:r w:rsidR="009A6D05">
        <w:rPr>
          <w:rFonts w:cs="Arial"/>
        </w:rPr>
        <w:t xml:space="preserve">y hasta </w:t>
      </w:r>
      <w:r>
        <w:rPr>
          <w:rFonts w:cs="Arial"/>
        </w:rPr>
        <w:t>que un pediatra evalú</w:t>
      </w:r>
      <w:r w:rsidR="009A6D05">
        <w:rPr>
          <w:rFonts w:cs="Arial"/>
        </w:rPr>
        <w:t>e al producto</w:t>
      </w:r>
      <w:r>
        <w:rPr>
          <w:rFonts w:cs="Arial"/>
        </w:rPr>
        <w:t xml:space="preserve">. </w:t>
      </w:r>
    </w:p>
    <w:p w:rsidR="00C54536" w:rsidRDefault="00C54536" w:rsidP="00CA4640">
      <w:pPr>
        <w:pStyle w:val="Prrafodelista"/>
        <w:spacing w:line="360" w:lineRule="auto"/>
        <w:rPr>
          <w:rFonts w:cs="Arial"/>
        </w:rPr>
      </w:pPr>
    </w:p>
    <w:p w:rsidR="00C54536" w:rsidRDefault="00C54536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 w:rsidRPr="003F2CBB">
        <w:rPr>
          <w:rFonts w:cs="Arial"/>
        </w:rPr>
        <w:t>Una</w:t>
      </w:r>
      <w:r>
        <w:rPr>
          <w:rFonts w:cs="Arial"/>
        </w:rPr>
        <w:t xml:space="preserve"> forma de EA son las </w:t>
      </w:r>
      <w:r w:rsidRPr="003F2CBB">
        <w:rPr>
          <w:rFonts w:cs="Arial"/>
        </w:rPr>
        <w:t>urgencia</w:t>
      </w:r>
      <w:r>
        <w:rPr>
          <w:rFonts w:cs="Arial"/>
        </w:rPr>
        <w:t>s</w:t>
      </w:r>
      <w:r w:rsidRPr="003F2CBB">
        <w:rPr>
          <w:rFonts w:cs="Arial"/>
        </w:rPr>
        <w:t xml:space="preserve"> médica</w:t>
      </w:r>
      <w:r>
        <w:rPr>
          <w:rFonts w:cs="Arial"/>
        </w:rPr>
        <w:t xml:space="preserve">s, definidas como </w:t>
      </w:r>
      <w:r w:rsidRPr="003F2CBB">
        <w:rPr>
          <w:rFonts w:cs="Arial"/>
        </w:rPr>
        <w:t>cualquier condición</w:t>
      </w:r>
      <w:r>
        <w:rPr>
          <w:rFonts w:cs="Arial"/>
        </w:rPr>
        <w:t xml:space="preserve"> </w:t>
      </w:r>
      <w:r w:rsidRPr="003F2CBB">
        <w:rPr>
          <w:rFonts w:cs="Arial"/>
          <w:color w:val="333333"/>
          <w:shd w:val="clear" w:color="auto" w:fill="FFFFFF"/>
        </w:rPr>
        <w:t xml:space="preserve">de salud que requiera atención médica </w:t>
      </w:r>
      <w:r>
        <w:rPr>
          <w:rFonts w:cs="Arial"/>
          <w:color w:val="333333"/>
          <w:shd w:val="clear" w:color="auto" w:fill="FFFFFF"/>
        </w:rPr>
        <w:t xml:space="preserve">inmediata. </w:t>
      </w:r>
    </w:p>
    <w:p w:rsidR="00C54536" w:rsidRDefault="00C54536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C54536" w:rsidRDefault="00C54536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Otra forma de EA son las emergencias, definidas como eventos que ponen en riesgo la vida.</w:t>
      </w:r>
    </w:p>
    <w:p w:rsidR="00C54536" w:rsidRDefault="00C54536" w:rsidP="00CA4640">
      <w:pPr>
        <w:spacing w:line="360" w:lineRule="auto"/>
        <w:ind w:left="360"/>
        <w:jc w:val="both"/>
        <w:rPr>
          <w:rFonts w:cs="Arial"/>
          <w:color w:val="333333"/>
          <w:shd w:val="clear" w:color="auto" w:fill="FFFFFF"/>
        </w:rPr>
      </w:pPr>
    </w:p>
    <w:p w:rsidR="00C54536" w:rsidRDefault="00C54536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En el Sitio </w:t>
      </w:r>
      <w:r w:rsidR="00B432C6">
        <w:rPr>
          <w:rFonts w:cs="Arial"/>
          <w:color w:val="333333"/>
          <w:shd w:val="clear" w:color="auto" w:fill="FFFFFF"/>
        </w:rPr>
        <w:t>C</w:t>
      </w:r>
      <w:r>
        <w:rPr>
          <w:rFonts w:cs="Arial"/>
          <w:color w:val="333333"/>
          <w:shd w:val="clear" w:color="auto" w:fill="FFFFFF"/>
        </w:rPr>
        <w:t>línico, las urgencias médicas pueden estar relacionadas con la</w:t>
      </w:r>
      <w:r w:rsidR="00C528D8">
        <w:rPr>
          <w:rFonts w:cs="Arial"/>
          <w:color w:val="333333"/>
          <w:shd w:val="clear" w:color="auto" w:fill="FFFFFF"/>
        </w:rPr>
        <w:t xml:space="preserve">s actividades de la </w:t>
      </w:r>
      <w:r>
        <w:rPr>
          <w:rFonts w:cs="Arial"/>
          <w:color w:val="333333"/>
          <w:shd w:val="clear" w:color="auto" w:fill="FFFFFF"/>
        </w:rPr>
        <w:t>investigación</w:t>
      </w:r>
      <w:r w:rsidR="00C528D8">
        <w:rPr>
          <w:rFonts w:cs="Arial"/>
          <w:color w:val="333333"/>
          <w:shd w:val="clear" w:color="auto" w:fill="FFFFFF"/>
        </w:rPr>
        <w:t>, incluyendo los medicamentos del estudio</w:t>
      </w:r>
      <w:r>
        <w:rPr>
          <w:rFonts w:cs="Arial"/>
          <w:color w:val="333333"/>
          <w:shd w:val="clear" w:color="auto" w:fill="FFFFFF"/>
        </w:rPr>
        <w:t>. Por ese motivo, estos deberán ser administrados en presencia de un profesional de la salud capacitado, ya sea personal médico o de enfermería.</w:t>
      </w:r>
    </w:p>
    <w:p w:rsidR="00C54536" w:rsidRDefault="00C54536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227522" w:rsidRDefault="00C528D8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Los profesionales de la salud responsables de la atención de urgencias deberán </w:t>
      </w:r>
      <w:r w:rsidR="00454270">
        <w:rPr>
          <w:rFonts w:cs="Arial"/>
          <w:color w:val="333333"/>
          <w:shd w:val="clear" w:color="auto" w:fill="FFFFFF"/>
        </w:rPr>
        <w:t>tener capacitación en R</w:t>
      </w:r>
      <w:r>
        <w:rPr>
          <w:rFonts w:cs="Arial"/>
          <w:color w:val="333333"/>
          <w:shd w:val="clear" w:color="auto" w:fill="FFFFFF"/>
        </w:rPr>
        <w:t xml:space="preserve">esucitación </w:t>
      </w:r>
      <w:r w:rsidR="00454270">
        <w:rPr>
          <w:rFonts w:cs="Arial"/>
          <w:color w:val="333333"/>
          <w:shd w:val="clear" w:color="auto" w:fill="FFFFFF"/>
        </w:rPr>
        <w:t>C</w:t>
      </w:r>
      <w:r>
        <w:rPr>
          <w:rFonts w:cs="Arial"/>
          <w:color w:val="333333"/>
          <w:shd w:val="clear" w:color="auto" w:fill="FFFFFF"/>
        </w:rPr>
        <w:t>ardiopulmonar (RCP)</w:t>
      </w:r>
      <w:r w:rsidR="00454270">
        <w:rPr>
          <w:rFonts w:cs="Arial"/>
          <w:color w:val="333333"/>
          <w:shd w:val="clear" w:color="auto" w:fill="FFFFFF"/>
        </w:rPr>
        <w:t>. Su constancia de entrenamiento tendrá una vigencia de 3 años.</w:t>
      </w:r>
    </w:p>
    <w:p w:rsidR="00227522" w:rsidRDefault="00227522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454270" w:rsidRDefault="00C54536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Es responsabilidad de la empresa contar con el equipo y material necesario para la atención </w:t>
      </w:r>
      <w:r w:rsidR="00454270">
        <w:rPr>
          <w:rFonts w:cs="Arial"/>
          <w:color w:val="333333"/>
          <w:shd w:val="clear" w:color="auto" w:fill="FFFFFF"/>
        </w:rPr>
        <w:t>de las urgencias, cuyo alcance es la estabilización del sujeto previa al traslado a hospital, cuando sea necesario.</w:t>
      </w:r>
    </w:p>
    <w:p w:rsidR="00454270" w:rsidRDefault="00454270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C54536" w:rsidRDefault="00C54536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 w:rsidRPr="00C54536">
        <w:rPr>
          <w:rFonts w:cs="Arial"/>
          <w:color w:val="333333"/>
          <w:shd w:val="clear" w:color="auto" w:fill="FFFFFF"/>
        </w:rPr>
        <w:t xml:space="preserve">En el área clínica de la empresa se encuentra el carro rojo, mismo que deberá estar equipado con tanque de </w:t>
      </w:r>
      <w:r>
        <w:rPr>
          <w:rFonts w:cs="Arial"/>
          <w:color w:val="333333"/>
          <w:shd w:val="clear" w:color="auto" w:fill="FFFFFF"/>
        </w:rPr>
        <w:t>oxígeno</w:t>
      </w:r>
      <w:r w:rsidR="000B308F">
        <w:rPr>
          <w:rFonts w:cs="Arial"/>
          <w:color w:val="333333"/>
          <w:shd w:val="clear" w:color="auto" w:fill="FFFFFF"/>
        </w:rPr>
        <w:t>, desfibrilador,</w:t>
      </w:r>
      <w:r>
        <w:rPr>
          <w:rFonts w:cs="Arial"/>
          <w:color w:val="333333"/>
          <w:shd w:val="clear" w:color="auto" w:fill="FFFFFF"/>
        </w:rPr>
        <w:t xml:space="preserve"> y tabla de reanimación.</w:t>
      </w:r>
    </w:p>
    <w:p w:rsidR="000B308F" w:rsidRDefault="000B308F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0B308F" w:rsidRPr="000B308F" w:rsidRDefault="000B308F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 w:rsidRPr="000B308F">
        <w:rPr>
          <w:rFonts w:cs="Arial"/>
          <w:color w:val="333333"/>
          <w:shd w:val="clear" w:color="auto" w:fill="FFFFFF"/>
        </w:rPr>
        <w:lastRenderedPageBreak/>
        <w:t>En cada cajón del carro rojo deberá colocarse una mica con el contenido obligado y las cantidades mínimas necesarias que se muestran en el FC Carro rojo.</w:t>
      </w:r>
    </w:p>
    <w:p w:rsidR="00C54536" w:rsidRDefault="00C54536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5D7ACF" w:rsidRDefault="00C64608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Las condiciones funcionales del equipo </w:t>
      </w:r>
      <w:r w:rsidR="006419C7">
        <w:rPr>
          <w:rFonts w:cs="Arial"/>
          <w:color w:val="333333"/>
          <w:shd w:val="clear" w:color="auto" w:fill="FFFFFF"/>
        </w:rPr>
        <w:t xml:space="preserve">del área clínica, </w:t>
      </w:r>
      <w:r>
        <w:rPr>
          <w:rFonts w:cs="Arial"/>
          <w:color w:val="333333"/>
          <w:shd w:val="clear" w:color="auto" w:fill="FFFFFF"/>
        </w:rPr>
        <w:t>y l</w:t>
      </w:r>
      <w:r w:rsidR="00C54536">
        <w:rPr>
          <w:rFonts w:cs="Arial"/>
          <w:color w:val="333333"/>
          <w:shd w:val="clear" w:color="auto" w:fill="FFFFFF"/>
        </w:rPr>
        <w:t>a caducidad de los medicamentos</w:t>
      </w:r>
      <w:r w:rsidR="006419C7">
        <w:rPr>
          <w:rFonts w:cs="Arial"/>
          <w:color w:val="333333"/>
          <w:shd w:val="clear" w:color="auto" w:fill="FFFFFF"/>
        </w:rPr>
        <w:t>,</w:t>
      </w:r>
      <w:r w:rsidR="00C54536">
        <w:rPr>
          <w:rFonts w:cs="Arial"/>
          <w:color w:val="333333"/>
          <w:shd w:val="clear" w:color="auto" w:fill="FFFFFF"/>
        </w:rPr>
        <w:t xml:space="preserve"> deberá</w:t>
      </w:r>
      <w:r>
        <w:rPr>
          <w:rFonts w:cs="Arial"/>
          <w:color w:val="333333"/>
          <w:shd w:val="clear" w:color="auto" w:fill="FFFFFF"/>
        </w:rPr>
        <w:t>n</w:t>
      </w:r>
      <w:r w:rsidR="00C54536">
        <w:rPr>
          <w:rFonts w:cs="Arial"/>
          <w:color w:val="333333"/>
          <w:shd w:val="clear" w:color="auto" w:fill="FFFFFF"/>
        </w:rPr>
        <w:t xml:space="preserve"> ser verificada</w:t>
      </w:r>
      <w:r>
        <w:rPr>
          <w:rFonts w:cs="Arial"/>
          <w:color w:val="333333"/>
          <w:shd w:val="clear" w:color="auto" w:fill="FFFFFF"/>
        </w:rPr>
        <w:t>s</w:t>
      </w:r>
      <w:r w:rsidR="00C54536">
        <w:rPr>
          <w:rFonts w:cs="Arial"/>
          <w:color w:val="333333"/>
          <w:shd w:val="clear" w:color="auto" w:fill="FFFFFF"/>
        </w:rPr>
        <w:t xml:space="preserve"> en forma </w:t>
      </w:r>
      <w:r w:rsidR="009462BC">
        <w:rPr>
          <w:rFonts w:cs="Arial"/>
          <w:color w:val="333333"/>
          <w:shd w:val="clear" w:color="auto" w:fill="FFFFFF"/>
        </w:rPr>
        <w:t>trimestral</w:t>
      </w:r>
      <w:r w:rsidR="00C54536">
        <w:rPr>
          <w:rFonts w:cs="Arial"/>
          <w:color w:val="333333"/>
          <w:shd w:val="clear" w:color="auto" w:fill="FFFFFF"/>
        </w:rPr>
        <w:t>.</w:t>
      </w:r>
      <w:r w:rsidR="005D7ACF">
        <w:rPr>
          <w:rFonts w:cs="Arial"/>
          <w:color w:val="333333"/>
          <w:shd w:val="clear" w:color="auto" w:fill="FFFFFF"/>
        </w:rPr>
        <w:t xml:space="preserve"> </w:t>
      </w:r>
    </w:p>
    <w:p w:rsidR="005D7ACF" w:rsidRDefault="005D7ACF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5D7ACF" w:rsidRDefault="006419C7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Desde su compra, c</w:t>
      </w:r>
      <w:r w:rsidR="005D7ACF">
        <w:rPr>
          <w:rFonts w:cs="Arial"/>
          <w:color w:val="333333"/>
          <w:shd w:val="clear" w:color="auto" w:fill="FFFFFF"/>
        </w:rPr>
        <w:t>ada medicamento deberá ser etiquetado de acuerdo al código de colores que se muestra en la Figura 1.</w:t>
      </w:r>
    </w:p>
    <w:p w:rsidR="005D7ACF" w:rsidRDefault="005D7ACF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CA4640" w:rsidRDefault="00CA4640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5D7ACF" w:rsidRPr="005D7ACF" w:rsidRDefault="005D7ACF" w:rsidP="00CA4640">
      <w:pPr>
        <w:pStyle w:val="Descripcin"/>
        <w:spacing w:after="0" w:line="360" w:lineRule="auto"/>
        <w:jc w:val="center"/>
        <w:rPr>
          <w:rFonts w:cs="Arial"/>
          <w:color w:val="auto"/>
          <w:sz w:val="24"/>
          <w:szCs w:val="24"/>
          <w:shd w:val="clear" w:color="auto" w:fill="FFFFFF"/>
        </w:rPr>
      </w:pPr>
      <w:r>
        <w:rPr>
          <w:i/>
          <w:color w:val="auto"/>
          <w:sz w:val="24"/>
          <w:szCs w:val="24"/>
        </w:rPr>
        <w:t>F</w:t>
      </w:r>
      <w:r w:rsidRPr="005D7ACF">
        <w:rPr>
          <w:i/>
          <w:color w:val="auto"/>
          <w:sz w:val="24"/>
          <w:szCs w:val="24"/>
        </w:rPr>
        <w:t xml:space="preserve">igura </w:t>
      </w:r>
      <w:r w:rsidRPr="005D7ACF">
        <w:rPr>
          <w:i/>
          <w:color w:val="auto"/>
          <w:sz w:val="24"/>
          <w:szCs w:val="24"/>
        </w:rPr>
        <w:fldChar w:fldCharType="begin"/>
      </w:r>
      <w:r w:rsidRPr="005D7ACF">
        <w:rPr>
          <w:i/>
          <w:color w:val="auto"/>
          <w:sz w:val="24"/>
          <w:szCs w:val="24"/>
        </w:rPr>
        <w:instrText xml:space="preserve"> SEQ Figura \* ARABIC </w:instrText>
      </w:r>
      <w:r w:rsidRPr="005D7ACF">
        <w:rPr>
          <w:i/>
          <w:color w:val="auto"/>
          <w:sz w:val="24"/>
          <w:szCs w:val="24"/>
        </w:rPr>
        <w:fldChar w:fldCharType="separate"/>
      </w:r>
      <w:r w:rsidRPr="005D7ACF">
        <w:rPr>
          <w:i/>
          <w:noProof/>
          <w:color w:val="auto"/>
          <w:sz w:val="24"/>
          <w:szCs w:val="24"/>
        </w:rPr>
        <w:t>1</w:t>
      </w:r>
      <w:r w:rsidRPr="005D7ACF">
        <w:rPr>
          <w:i/>
          <w:color w:val="auto"/>
          <w:sz w:val="24"/>
          <w:szCs w:val="24"/>
        </w:rPr>
        <w:fldChar w:fldCharType="end"/>
      </w:r>
      <w:r w:rsidRPr="005D7ACF">
        <w:rPr>
          <w:rFonts w:cs="Arial"/>
          <w:color w:val="auto"/>
          <w:sz w:val="24"/>
          <w:szCs w:val="24"/>
          <w:shd w:val="clear" w:color="auto" w:fill="FFFFFF"/>
        </w:rPr>
        <w:t>. Código de colores para medicamentos del carro rojo</w:t>
      </w:r>
    </w:p>
    <w:p w:rsidR="005D7ACF" w:rsidRDefault="005D7ACF" w:rsidP="00CA4640">
      <w:pPr>
        <w:spacing w:line="360" w:lineRule="auto"/>
        <w:jc w:val="center"/>
        <w:rPr>
          <w:rFonts w:cs="Arial"/>
          <w:color w:val="333333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5"/>
        <w:gridCol w:w="854"/>
      </w:tblGrid>
      <w:tr w:rsidR="005D7ACF" w:rsidRPr="005D7ACF" w:rsidTr="005D7ACF">
        <w:trPr>
          <w:jc w:val="center"/>
        </w:trPr>
        <w:tc>
          <w:tcPr>
            <w:tcW w:w="7095" w:type="dxa"/>
            <w:tcBorders>
              <w:top w:val="single" w:sz="4" w:space="0" w:color="auto"/>
            </w:tcBorders>
            <w:shd w:val="clear" w:color="auto" w:fill="auto"/>
          </w:tcPr>
          <w:p w:rsidR="005D7ACF" w:rsidRPr="005D7ACF" w:rsidRDefault="005D7ACF" w:rsidP="00CA4640">
            <w:pPr>
              <w:spacing w:line="360" w:lineRule="auto"/>
              <w:jc w:val="both"/>
              <w:rPr>
                <w:rFonts w:cs="Arial"/>
                <w:color w:val="333333"/>
                <w:shd w:val="clear" w:color="auto" w:fill="FFFFFF"/>
              </w:rPr>
            </w:pPr>
            <w:r w:rsidRPr="005D7ACF">
              <w:rPr>
                <w:rFonts w:cs="Arial"/>
                <w:color w:val="333333"/>
                <w:shd w:val="clear" w:color="auto" w:fill="FFFFFF"/>
              </w:rPr>
              <w:t>Etiqueta roja - caduca en los siguientes 3 meses</w:t>
            </w:r>
          </w:p>
        </w:tc>
        <w:tc>
          <w:tcPr>
            <w:tcW w:w="854" w:type="dxa"/>
            <w:tcBorders>
              <w:top w:val="single" w:sz="4" w:space="0" w:color="auto"/>
              <w:right w:val="single" w:sz="4" w:space="0" w:color="auto"/>
            </w:tcBorders>
            <w:shd w:val="clear" w:color="auto" w:fill="FF0000"/>
          </w:tcPr>
          <w:p w:rsidR="005D7ACF" w:rsidRPr="005D7ACF" w:rsidRDefault="005D7ACF" w:rsidP="00CA4640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4"/>
                <w:szCs w:val="24"/>
                <w:lang w:val="es-MX"/>
              </w:rPr>
            </w:pPr>
          </w:p>
        </w:tc>
      </w:tr>
      <w:tr w:rsidR="005D7ACF" w:rsidRPr="005D7ACF" w:rsidTr="005D7ACF">
        <w:trPr>
          <w:jc w:val="center"/>
        </w:trPr>
        <w:tc>
          <w:tcPr>
            <w:tcW w:w="7095" w:type="dxa"/>
            <w:shd w:val="clear" w:color="auto" w:fill="auto"/>
          </w:tcPr>
          <w:p w:rsidR="005D7ACF" w:rsidRPr="005D7ACF" w:rsidRDefault="005D7ACF" w:rsidP="00CA4640">
            <w:pPr>
              <w:spacing w:line="360" w:lineRule="auto"/>
              <w:jc w:val="both"/>
              <w:rPr>
                <w:rFonts w:cs="Arial"/>
                <w:color w:val="333333"/>
                <w:shd w:val="clear" w:color="auto" w:fill="FFFFFF"/>
              </w:rPr>
            </w:pPr>
            <w:r w:rsidRPr="005D7ACF">
              <w:rPr>
                <w:rFonts w:cs="Arial"/>
                <w:color w:val="333333"/>
                <w:shd w:val="clear" w:color="auto" w:fill="FFFFFF"/>
              </w:rPr>
              <w:t>Etiqueta amarilla – caduca en los siguientes 6 meses</w:t>
            </w:r>
          </w:p>
        </w:tc>
        <w:tc>
          <w:tcPr>
            <w:tcW w:w="854" w:type="dxa"/>
            <w:tcBorders>
              <w:right w:val="single" w:sz="4" w:space="0" w:color="auto"/>
            </w:tcBorders>
            <w:shd w:val="clear" w:color="auto" w:fill="FFFF00"/>
          </w:tcPr>
          <w:p w:rsidR="005D7ACF" w:rsidRPr="005D7ACF" w:rsidRDefault="005D7ACF" w:rsidP="00CA4640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4"/>
                <w:szCs w:val="24"/>
                <w:lang w:val="es-MX"/>
              </w:rPr>
            </w:pPr>
          </w:p>
        </w:tc>
      </w:tr>
      <w:tr w:rsidR="005D7ACF" w:rsidRPr="005D7ACF" w:rsidTr="005D7ACF">
        <w:trPr>
          <w:jc w:val="center"/>
        </w:trPr>
        <w:tc>
          <w:tcPr>
            <w:tcW w:w="7095" w:type="dxa"/>
            <w:shd w:val="clear" w:color="auto" w:fill="auto"/>
          </w:tcPr>
          <w:p w:rsidR="005D7ACF" w:rsidRPr="005D7ACF" w:rsidRDefault="005D7ACF" w:rsidP="00CA4640">
            <w:pPr>
              <w:spacing w:line="360" w:lineRule="auto"/>
              <w:jc w:val="both"/>
              <w:rPr>
                <w:rFonts w:cs="Arial"/>
                <w:color w:val="333333"/>
                <w:shd w:val="clear" w:color="auto" w:fill="FFFFFF"/>
              </w:rPr>
            </w:pPr>
            <w:r w:rsidRPr="005D7ACF">
              <w:rPr>
                <w:rFonts w:cs="Arial"/>
                <w:color w:val="333333"/>
                <w:shd w:val="clear" w:color="auto" w:fill="FFFFFF"/>
              </w:rPr>
              <w:t>Etiqueta verde – caduca en 1 año</w:t>
            </w:r>
          </w:p>
        </w:tc>
        <w:tc>
          <w:tcPr>
            <w:tcW w:w="854" w:type="dxa"/>
            <w:tcBorders>
              <w:right w:val="single" w:sz="4" w:space="0" w:color="auto"/>
            </w:tcBorders>
            <w:shd w:val="clear" w:color="auto" w:fill="00B050"/>
          </w:tcPr>
          <w:p w:rsidR="005D7ACF" w:rsidRPr="005D7ACF" w:rsidRDefault="005D7ACF" w:rsidP="00CA4640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4"/>
                <w:szCs w:val="24"/>
                <w:lang w:val="es-MX"/>
              </w:rPr>
            </w:pPr>
          </w:p>
        </w:tc>
      </w:tr>
    </w:tbl>
    <w:p w:rsidR="00C64608" w:rsidRDefault="00C64608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C64608" w:rsidRDefault="00C64608" w:rsidP="00CA4640">
      <w:pPr>
        <w:spacing w:line="360" w:lineRule="auto"/>
        <w:ind w:left="360"/>
        <w:jc w:val="both"/>
        <w:rPr>
          <w:rFonts w:cs="Arial"/>
          <w:color w:val="333333"/>
          <w:shd w:val="clear" w:color="auto" w:fill="FFFFFF"/>
        </w:rPr>
      </w:pPr>
    </w:p>
    <w:p w:rsidR="005D7ACF" w:rsidRDefault="006419C7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El </w:t>
      </w:r>
      <w:r w:rsidR="005D7ACF">
        <w:rPr>
          <w:rFonts w:cs="Arial"/>
          <w:color w:val="333333"/>
          <w:shd w:val="clear" w:color="auto" w:fill="FFFFFF"/>
        </w:rPr>
        <w:t>color</w:t>
      </w:r>
      <w:r>
        <w:rPr>
          <w:rFonts w:cs="Arial"/>
          <w:color w:val="333333"/>
          <w:shd w:val="clear" w:color="auto" w:fill="FFFFFF"/>
        </w:rPr>
        <w:t xml:space="preserve"> de las etiquetas </w:t>
      </w:r>
      <w:r w:rsidR="005D7ACF">
        <w:rPr>
          <w:rFonts w:cs="Arial"/>
          <w:color w:val="333333"/>
          <w:shd w:val="clear" w:color="auto" w:fill="FFFFFF"/>
        </w:rPr>
        <w:t>se revisará trimestralmente.</w:t>
      </w:r>
    </w:p>
    <w:p w:rsidR="00C64608" w:rsidRDefault="00C64608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C54536" w:rsidRDefault="006419C7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La</w:t>
      </w:r>
      <w:r w:rsidR="00C54536">
        <w:rPr>
          <w:rFonts w:cs="Arial"/>
          <w:color w:val="333333"/>
          <w:shd w:val="clear" w:color="auto" w:fill="FFFFFF"/>
        </w:rPr>
        <w:t xml:space="preserve"> destrucción </w:t>
      </w:r>
      <w:r w:rsidR="005D7ACF">
        <w:rPr>
          <w:rFonts w:cs="Arial"/>
          <w:color w:val="333333"/>
          <w:shd w:val="clear" w:color="auto" w:fill="FFFFFF"/>
        </w:rPr>
        <w:t xml:space="preserve">de medicamentos caducos </w:t>
      </w:r>
      <w:r w:rsidR="00C54536">
        <w:rPr>
          <w:rFonts w:cs="Arial"/>
          <w:color w:val="333333"/>
          <w:shd w:val="clear" w:color="auto" w:fill="FFFFFF"/>
        </w:rPr>
        <w:t xml:space="preserve">estará a cargo del proveedor de servicios </w:t>
      </w:r>
      <w:r>
        <w:rPr>
          <w:rFonts w:cs="Arial"/>
          <w:color w:val="333333"/>
          <w:shd w:val="clear" w:color="auto" w:fill="FFFFFF"/>
        </w:rPr>
        <w:t>encargado</w:t>
      </w:r>
      <w:r w:rsidR="00C54536">
        <w:rPr>
          <w:rFonts w:cs="Arial"/>
          <w:color w:val="333333"/>
          <w:shd w:val="clear" w:color="auto" w:fill="FFFFFF"/>
        </w:rPr>
        <w:t xml:space="preserve"> del manejo de residuos peligrosos.</w:t>
      </w:r>
    </w:p>
    <w:p w:rsidR="00C54536" w:rsidRDefault="00C54536" w:rsidP="00CA4640">
      <w:pPr>
        <w:pStyle w:val="Prrafodelista"/>
        <w:spacing w:line="360" w:lineRule="auto"/>
        <w:rPr>
          <w:rFonts w:cs="Arial"/>
          <w:color w:val="333333"/>
          <w:shd w:val="clear" w:color="auto" w:fill="FFFFFF"/>
        </w:rPr>
      </w:pPr>
    </w:p>
    <w:p w:rsidR="00C54536" w:rsidRPr="00E91360" w:rsidRDefault="00C54536" w:rsidP="00CA4640">
      <w:pPr>
        <w:numPr>
          <w:ilvl w:val="0"/>
          <w:numId w:val="5"/>
        </w:numPr>
        <w:spacing w:line="360" w:lineRule="auto"/>
        <w:jc w:val="both"/>
        <w:rPr>
          <w:rFonts w:cs="Arial"/>
          <w:color w:val="333333"/>
          <w:shd w:val="clear" w:color="auto" w:fill="FFFFFF"/>
        </w:rPr>
      </w:pPr>
      <w:r w:rsidRPr="00E91360">
        <w:rPr>
          <w:rFonts w:cs="Arial"/>
          <w:color w:val="333333"/>
          <w:shd w:val="clear" w:color="auto" w:fill="FFFFFF"/>
        </w:rPr>
        <w:t>En el área clínica y en la recepción, deberá colocarse un señalamiento para proceder en caso de emergencia, el cual deberá estar basado en el FC Emergencias</w:t>
      </w:r>
      <w:r w:rsidR="00F01F43">
        <w:rPr>
          <w:rFonts w:cs="Arial"/>
          <w:color w:val="333333"/>
          <w:shd w:val="clear" w:color="auto" w:fill="FFFFFF"/>
        </w:rPr>
        <w:t>.</w:t>
      </w:r>
    </w:p>
    <w:p w:rsidR="00C54536" w:rsidRDefault="00C54536" w:rsidP="00CA4640">
      <w:pPr>
        <w:spacing w:line="360" w:lineRule="auto"/>
        <w:ind w:left="720"/>
        <w:jc w:val="both"/>
        <w:rPr>
          <w:rFonts w:cs="Arial"/>
        </w:rPr>
      </w:pPr>
    </w:p>
    <w:p w:rsidR="004F03D4" w:rsidRPr="00963006" w:rsidRDefault="004F03D4" w:rsidP="00CA4640">
      <w:pPr>
        <w:spacing w:line="360" w:lineRule="auto"/>
        <w:rPr>
          <w:rFonts w:cs="Arial"/>
        </w:rPr>
      </w:pPr>
    </w:p>
    <w:sectPr w:rsidR="004F03D4" w:rsidRPr="00963006" w:rsidSect="00CE3628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4F4" w:rsidRDefault="006F34F4">
      <w:r>
        <w:separator/>
      </w:r>
    </w:p>
  </w:endnote>
  <w:endnote w:type="continuationSeparator" w:id="0">
    <w:p w:rsidR="006F34F4" w:rsidRDefault="006F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5A" w:rsidRPr="00D90596" w:rsidRDefault="00581C5A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 w:rsidR="00974BFC">
      <w:rPr>
        <w:sz w:val="20"/>
        <w:szCs w:val="20"/>
        <w:lang w:val="es-ES"/>
      </w:rPr>
      <w:t>01-oct</w:t>
    </w:r>
    <w:r w:rsidR="00200026">
      <w:rPr>
        <w:sz w:val="20"/>
        <w:szCs w:val="20"/>
        <w:lang w:val="es-ES"/>
      </w:rPr>
      <w:t>-2020</w:t>
    </w:r>
    <w:r w:rsidRPr="00CF0DE9">
      <w:rPr>
        <w:sz w:val="20"/>
        <w:szCs w:val="20"/>
      </w:rPr>
      <w:t xml:space="preserve"> </w:t>
    </w:r>
    <w:r>
      <w:t xml:space="preserve">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="00AF77E5">
      <w:rPr>
        <w:b/>
        <w:sz w:val="22"/>
        <w:szCs w:val="22"/>
        <w:lang w:val="es-MX"/>
      </w:rPr>
      <w:t xml:space="preserve">                                      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="004A12FE">
      <w:rPr>
        <w:b/>
        <w:sz w:val="20"/>
        <w:szCs w:val="20"/>
      </w:rPr>
      <w:t xml:space="preserve">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974BFC">
      <w:rPr>
        <w:rStyle w:val="Nmerodepgina"/>
        <w:noProof/>
        <w:sz w:val="20"/>
        <w:szCs w:val="20"/>
      </w:rPr>
      <w:t>4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974BFC">
      <w:rPr>
        <w:rStyle w:val="Nmerodepgina"/>
        <w:noProof/>
        <w:sz w:val="20"/>
        <w:szCs w:val="20"/>
      </w:rPr>
      <w:t>10</w:t>
    </w:r>
    <w:r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4F4" w:rsidRDefault="006F34F4">
      <w:r>
        <w:separator/>
      </w:r>
    </w:p>
  </w:footnote>
  <w:footnote w:type="continuationSeparator" w:id="0">
    <w:p w:rsidR="006F34F4" w:rsidRDefault="006F3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5A" w:rsidRPr="006C4E8E" w:rsidRDefault="00782740" w:rsidP="00307441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63872" behindDoc="1" locked="0" layoutInCell="1" allowOverlap="1" wp14:anchorId="62B0F3FF" wp14:editId="398D624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1C5A">
      <w:rPr>
        <w:sz w:val="20"/>
        <w:szCs w:val="20"/>
      </w:rPr>
      <w:t xml:space="preserve">                                      </w:t>
    </w:r>
    <w:r w:rsidR="00AF77E5">
      <w:rPr>
        <w:sz w:val="20"/>
        <w:szCs w:val="20"/>
        <w:lang w:val="es-MX"/>
      </w:rPr>
      <w:t>IT</w:t>
    </w:r>
    <w:r w:rsidR="00581C5A">
      <w:rPr>
        <w:sz w:val="20"/>
        <w:szCs w:val="20"/>
        <w:lang w:val="es-MX"/>
      </w:rPr>
      <w:t>-</w:t>
    </w:r>
    <w:r w:rsidR="004B7146">
      <w:rPr>
        <w:sz w:val="20"/>
        <w:szCs w:val="20"/>
        <w:lang w:val="es-MX"/>
      </w:rPr>
      <w:t>S</w:t>
    </w:r>
    <w:r w:rsidR="00581C5A">
      <w:rPr>
        <w:sz w:val="20"/>
        <w:szCs w:val="20"/>
        <w:lang w:val="es-MX"/>
      </w:rPr>
      <w:t>C-</w:t>
    </w:r>
    <w:r w:rsidR="00CA4640">
      <w:rPr>
        <w:sz w:val="20"/>
        <w:szCs w:val="20"/>
        <w:lang w:val="es-MX"/>
      </w:rPr>
      <w:t>5</w:t>
    </w:r>
    <w:r w:rsidR="00B432C6">
      <w:rPr>
        <w:sz w:val="20"/>
        <w:szCs w:val="20"/>
        <w:lang w:val="es-MX"/>
      </w:rPr>
      <w:t>.</w:t>
    </w:r>
    <w:r w:rsidR="00CA4640">
      <w:rPr>
        <w:sz w:val="20"/>
        <w:szCs w:val="20"/>
        <w:lang w:val="es-MX"/>
      </w:rPr>
      <w:t>4</w:t>
    </w:r>
    <w:r w:rsidR="00581C5A">
      <w:rPr>
        <w:sz w:val="20"/>
        <w:szCs w:val="20"/>
        <w:lang w:val="es-MX"/>
      </w:rPr>
      <w:t xml:space="preserve"> </w:t>
    </w:r>
    <w:r w:rsidR="00200026">
      <w:rPr>
        <w:sz w:val="20"/>
        <w:szCs w:val="20"/>
        <w:lang w:val="es-MX"/>
      </w:rPr>
      <w:t>Farmacovigilancia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2471"/>
    <w:multiLevelType w:val="hybridMultilevel"/>
    <w:tmpl w:val="93689D7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733"/>
    <w:multiLevelType w:val="hybridMultilevel"/>
    <w:tmpl w:val="A0F0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548"/>
    <w:multiLevelType w:val="hybridMultilevel"/>
    <w:tmpl w:val="AF6AE9E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A35B32"/>
    <w:multiLevelType w:val="hybridMultilevel"/>
    <w:tmpl w:val="CECCE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F43FA"/>
    <w:multiLevelType w:val="hybridMultilevel"/>
    <w:tmpl w:val="2DC67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3714"/>
    <w:rsid w:val="00003B34"/>
    <w:rsid w:val="00003BE2"/>
    <w:rsid w:val="00004526"/>
    <w:rsid w:val="0000462A"/>
    <w:rsid w:val="00004E61"/>
    <w:rsid w:val="0000553B"/>
    <w:rsid w:val="00005CCB"/>
    <w:rsid w:val="000078E2"/>
    <w:rsid w:val="00010E0A"/>
    <w:rsid w:val="00012C6E"/>
    <w:rsid w:val="00013416"/>
    <w:rsid w:val="000143F4"/>
    <w:rsid w:val="000145EE"/>
    <w:rsid w:val="000145F1"/>
    <w:rsid w:val="000150E1"/>
    <w:rsid w:val="0002131D"/>
    <w:rsid w:val="0002273F"/>
    <w:rsid w:val="000227BC"/>
    <w:rsid w:val="000247E2"/>
    <w:rsid w:val="00025EA7"/>
    <w:rsid w:val="00026CDA"/>
    <w:rsid w:val="00027493"/>
    <w:rsid w:val="0003125C"/>
    <w:rsid w:val="000333D0"/>
    <w:rsid w:val="00034CA4"/>
    <w:rsid w:val="00035D28"/>
    <w:rsid w:val="000366CB"/>
    <w:rsid w:val="00036CD6"/>
    <w:rsid w:val="00036DC9"/>
    <w:rsid w:val="00040213"/>
    <w:rsid w:val="00040B0A"/>
    <w:rsid w:val="0004110A"/>
    <w:rsid w:val="00041C8E"/>
    <w:rsid w:val="000423E0"/>
    <w:rsid w:val="00042B58"/>
    <w:rsid w:val="000433E8"/>
    <w:rsid w:val="00044776"/>
    <w:rsid w:val="0004478C"/>
    <w:rsid w:val="00044BE7"/>
    <w:rsid w:val="00045576"/>
    <w:rsid w:val="000460AF"/>
    <w:rsid w:val="00050FC2"/>
    <w:rsid w:val="00052DC1"/>
    <w:rsid w:val="000536DB"/>
    <w:rsid w:val="00053D47"/>
    <w:rsid w:val="00057C9D"/>
    <w:rsid w:val="00060E35"/>
    <w:rsid w:val="00063211"/>
    <w:rsid w:val="00064988"/>
    <w:rsid w:val="000652D3"/>
    <w:rsid w:val="000670E2"/>
    <w:rsid w:val="00071023"/>
    <w:rsid w:val="00071DD9"/>
    <w:rsid w:val="0007319D"/>
    <w:rsid w:val="00075478"/>
    <w:rsid w:val="00075768"/>
    <w:rsid w:val="00075859"/>
    <w:rsid w:val="0007710C"/>
    <w:rsid w:val="00081291"/>
    <w:rsid w:val="0008151A"/>
    <w:rsid w:val="000827F7"/>
    <w:rsid w:val="000835D7"/>
    <w:rsid w:val="00083679"/>
    <w:rsid w:val="000839F9"/>
    <w:rsid w:val="00083C1F"/>
    <w:rsid w:val="0008449D"/>
    <w:rsid w:val="000845B2"/>
    <w:rsid w:val="000851BC"/>
    <w:rsid w:val="00086276"/>
    <w:rsid w:val="00092FED"/>
    <w:rsid w:val="00094AF8"/>
    <w:rsid w:val="00097E35"/>
    <w:rsid w:val="000A1D3A"/>
    <w:rsid w:val="000A2BA1"/>
    <w:rsid w:val="000A42C5"/>
    <w:rsid w:val="000A499B"/>
    <w:rsid w:val="000A69BC"/>
    <w:rsid w:val="000B0F40"/>
    <w:rsid w:val="000B1EF9"/>
    <w:rsid w:val="000B2D30"/>
    <w:rsid w:val="000B308F"/>
    <w:rsid w:val="000B4884"/>
    <w:rsid w:val="000B6A25"/>
    <w:rsid w:val="000C0AA4"/>
    <w:rsid w:val="000C15AF"/>
    <w:rsid w:val="000C3A4D"/>
    <w:rsid w:val="000C41EB"/>
    <w:rsid w:val="000C6302"/>
    <w:rsid w:val="000C7BE1"/>
    <w:rsid w:val="000C7F57"/>
    <w:rsid w:val="000D039A"/>
    <w:rsid w:val="000D17B0"/>
    <w:rsid w:val="000D2077"/>
    <w:rsid w:val="000D2865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03"/>
    <w:rsid w:val="000E5191"/>
    <w:rsid w:val="000E6A08"/>
    <w:rsid w:val="000E77D3"/>
    <w:rsid w:val="000F03C3"/>
    <w:rsid w:val="000F0671"/>
    <w:rsid w:val="000F144D"/>
    <w:rsid w:val="000F20A6"/>
    <w:rsid w:val="000F2489"/>
    <w:rsid w:val="000F460D"/>
    <w:rsid w:val="000F4B7C"/>
    <w:rsid w:val="000F56E1"/>
    <w:rsid w:val="000F5FE4"/>
    <w:rsid w:val="000F6EFC"/>
    <w:rsid w:val="0010321A"/>
    <w:rsid w:val="001036CF"/>
    <w:rsid w:val="00106593"/>
    <w:rsid w:val="00107E0A"/>
    <w:rsid w:val="00107EF9"/>
    <w:rsid w:val="001101B9"/>
    <w:rsid w:val="00110633"/>
    <w:rsid w:val="00110B87"/>
    <w:rsid w:val="00111226"/>
    <w:rsid w:val="0011188C"/>
    <w:rsid w:val="0011210D"/>
    <w:rsid w:val="001163D5"/>
    <w:rsid w:val="00116982"/>
    <w:rsid w:val="00116DD0"/>
    <w:rsid w:val="00117F10"/>
    <w:rsid w:val="0012074E"/>
    <w:rsid w:val="0012113B"/>
    <w:rsid w:val="00122AA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7C2"/>
    <w:rsid w:val="00142B9E"/>
    <w:rsid w:val="0014343E"/>
    <w:rsid w:val="001460D7"/>
    <w:rsid w:val="00152441"/>
    <w:rsid w:val="00153CEB"/>
    <w:rsid w:val="00155ACB"/>
    <w:rsid w:val="001563BE"/>
    <w:rsid w:val="00160459"/>
    <w:rsid w:val="001605DE"/>
    <w:rsid w:val="0016562A"/>
    <w:rsid w:val="001671C6"/>
    <w:rsid w:val="00171FC7"/>
    <w:rsid w:val="00172AE8"/>
    <w:rsid w:val="001737F3"/>
    <w:rsid w:val="0017628C"/>
    <w:rsid w:val="0017674E"/>
    <w:rsid w:val="00176F7E"/>
    <w:rsid w:val="0018421B"/>
    <w:rsid w:val="001846A2"/>
    <w:rsid w:val="00184B6F"/>
    <w:rsid w:val="00187B98"/>
    <w:rsid w:val="0019066D"/>
    <w:rsid w:val="00192774"/>
    <w:rsid w:val="0019310A"/>
    <w:rsid w:val="001931FC"/>
    <w:rsid w:val="00193736"/>
    <w:rsid w:val="00196B52"/>
    <w:rsid w:val="00196DAE"/>
    <w:rsid w:val="00197D5B"/>
    <w:rsid w:val="001A1A5B"/>
    <w:rsid w:val="001A21D1"/>
    <w:rsid w:val="001A2392"/>
    <w:rsid w:val="001A28C7"/>
    <w:rsid w:val="001A2BB5"/>
    <w:rsid w:val="001A2E52"/>
    <w:rsid w:val="001A6F59"/>
    <w:rsid w:val="001B1A58"/>
    <w:rsid w:val="001B1D0E"/>
    <w:rsid w:val="001B2239"/>
    <w:rsid w:val="001B4F78"/>
    <w:rsid w:val="001B56ED"/>
    <w:rsid w:val="001B7C3E"/>
    <w:rsid w:val="001C1831"/>
    <w:rsid w:val="001C2189"/>
    <w:rsid w:val="001C3587"/>
    <w:rsid w:val="001C3709"/>
    <w:rsid w:val="001C37CD"/>
    <w:rsid w:val="001C54F0"/>
    <w:rsid w:val="001C5BA3"/>
    <w:rsid w:val="001D0850"/>
    <w:rsid w:val="001D0B4A"/>
    <w:rsid w:val="001D0DDC"/>
    <w:rsid w:val="001D3FB5"/>
    <w:rsid w:val="001D49BE"/>
    <w:rsid w:val="001D5A7E"/>
    <w:rsid w:val="001D6E2D"/>
    <w:rsid w:val="001E212D"/>
    <w:rsid w:val="001E5AC7"/>
    <w:rsid w:val="001E6792"/>
    <w:rsid w:val="001F0079"/>
    <w:rsid w:val="001F1296"/>
    <w:rsid w:val="001F1827"/>
    <w:rsid w:val="001F1924"/>
    <w:rsid w:val="001F2240"/>
    <w:rsid w:val="001F35CE"/>
    <w:rsid w:val="001F35FF"/>
    <w:rsid w:val="001F3E27"/>
    <w:rsid w:val="001F638A"/>
    <w:rsid w:val="001F7248"/>
    <w:rsid w:val="00200026"/>
    <w:rsid w:val="00200258"/>
    <w:rsid w:val="002008C7"/>
    <w:rsid w:val="002050B3"/>
    <w:rsid w:val="002055AB"/>
    <w:rsid w:val="0020628A"/>
    <w:rsid w:val="00207E87"/>
    <w:rsid w:val="00211190"/>
    <w:rsid w:val="00211F38"/>
    <w:rsid w:val="00212A66"/>
    <w:rsid w:val="00213402"/>
    <w:rsid w:val="00216697"/>
    <w:rsid w:val="00220241"/>
    <w:rsid w:val="00220990"/>
    <w:rsid w:val="00222A8F"/>
    <w:rsid w:val="00222EB8"/>
    <w:rsid w:val="00223B3A"/>
    <w:rsid w:val="00224EFA"/>
    <w:rsid w:val="00227522"/>
    <w:rsid w:val="002275F6"/>
    <w:rsid w:val="00227978"/>
    <w:rsid w:val="00230679"/>
    <w:rsid w:val="00235070"/>
    <w:rsid w:val="00235075"/>
    <w:rsid w:val="00241ADB"/>
    <w:rsid w:val="00245A5B"/>
    <w:rsid w:val="002467B6"/>
    <w:rsid w:val="00246910"/>
    <w:rsid w:val="002504F7"/>
    <w:rsid w:val="002505DA"/>
    <w:rsid w:val="00250ACF"/>
    <w:rsid w:val="00251285"/>
    <w:rsid w:val="00255855"/>
    <w:rsid w:val="00255FD4"/>
    <w:rsid w:val="0025699B"/>
    <w:rsid w:val="00261F1E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B23"/>
    <w:rsid w:val="00275A43"/>
    <w:rsid w:val="00275EB7"/>
    <w:rsid w:val="00277092"/>
    <w:rsid w:val="0027766D"/>
    <w:rsid w:val="00277A56"/>
    <w:rsid w:val="00280B71"/>
    <w:rsid w:val="0028413D"/>
    <w:rsid w:val="0028462D"/>
    <w:rsid w:val="002847E5"/>
    <w:rsid w:val="0028512D"/>
    <w:rsid w:val="002859BF"/>
    <w:rsid w:val="00286504"/>
    <w:rsid w:val="002865B3"/>
    <w:rsid w:val="00291936"/>
    <w:rsid w:val="0029290A"/>
    <w:rsid w:val="0029303D"/>
    <w:rsid w:val="00294AFF"/>
    <w:rsid w:val="0029597F"/>
    <w:rsid w:val="00296FC8"/>
    <w:rsid w:val="00297897"/>
    <w:rsid w:val="00297DE1"/>
    <w:rsid w:val="002A08FF"/>
    <w:rsid w:val="002A1EDF"/>
    <w:rsid w:val="002A22C1"/>
    <w:rsid w:val="002A4986"/>
    <w:rsid w:val="002A5953"/>
    <w:rsid w:val="002A6A41"/>
    <w:rsid w:val="002B1655"/>
    <w:rsid w:val="002B2FE6"/>
    <w:rsid w:val="002B4185"/>
    <w:rsid w:val="002B59D7"/>
    <w:rsid w:val="002B5DF6"/>
    <w:rsid w:val="002B7737"/>
    <w:rsid w:val="002B79E2"/>
    <w:rsid w:val="002C055C"/>
    <w:rsid w:val="002C0E35"/>
    <w:rsid w:val="002C3CB4"/>
    <w:rsid w:val="002C4E08"/>
    <w:rsid w:val="002C6ABE"/>
    <w:rsid w:val="002D0BD5"/>
    <w:rsid w:val="002D10BE"/>
    <w:rsid w:val="002D41D9"/>
    <w:rsid w:val="002D66DF"/>
    <w:rsid w:val="002E0FA9"/>
    <w:rsid w:val="002E193E"/>
    <w:rsid w:val="002E2A1F"/>
    <w:rsid w:val="002E3314"/>
    <w:rsid w:val="002E4A33"/>
    <w:rsid w:val="002E6AEC"/>
    <w:rsid w:val="002E6BFA"/>
    <w:rsid w:val="002F17E8"/>
    <w:rsid w:val="002F1EEE"/>
    <w:rsid w:val="002F44B0"/>
    <w:rsid w:val="002F4AA3"/>
    <w:rsid w:val="002F4C9B"/>
    <w:rsid w:val="002F54BE"/>
    <w:rsid w:val="002F7161"/>
    <w:rsid w:val="002F7460"/>
    <w:rsid w:val="0030044C"/>
    <w:rsid w:val="00300E00"/>
    <w:rsid w:val="003015FB"/>
    <w:rsid w:val="003019CE"/>
    <w:rsid w:val="00302942"/>
    <w:rsid w:val="00305EF3"/>
    <w:rsid w:val="00306695"/>
    <w:rsid w:val="00306F1C"/>
    <w:rsid w:val="00307441"/>
    <w:rsid w:val="003119B7"/>
    <w:rsid w:val="003134E5"/>
    <w:rsid w:val="003137AC"/>
    <w:rsid w:val="0031398E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6B6"/>
    <w:rsid w:val="00324F79"/>
    <w:rsid w:val="00325966"/>
    <w:rsid w:val="00327AE8"/>
    <w:rsid w:val="00332DAD"/>
    <w:rsid w:val="003332DE"/>
    <w:rsid w:val="00335BD3"/>
    <w:rsid w:val="00337764"/>
    <w:rsid w:val="00343385"/>
    <w:rsid w:val="0034486A"/>
    <w:rsid w:val="0034686F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0E4"/>
    <w:rsid w:val="003752A8"/>
    <w:rsid w:val="003761FF"/>
    <w:rsid w:val="0037726E"/>
    <w:rsid w:val="00381131"/>
    <w:rsid w:val="003811F7"/>
    <w:rsid w:val="00382C3F"/>
    <w:rsid w:val="00382FCF"/>
    <w:rsid w:val="00383169"/>
    <w:rsid w:val="00383DC7"/>
    <w:rsid w:val="00385475"/>
    <w:rsid w:val="003854CD"/>
    <w:rsid w:val="00385DC5"/>
    <w:rsid w:val="0039032E"/>
    <w:rsid w:val="003933DE"/>
    <w:rsid w:val="00396BEB"/>
    <w:rsid w:val="00396F8D"/>
    <w:rsid w:val="003A38DD"/>
    <w:rsid w:val="003A41A7"/>
    <w:rsid w:val="003A5AF1"/>
    <w:rsid w:val="003A5D4E"/>
    <w:rsid w:val="003A66B1"/>
    <w:rsid w:val="003A6BE4"/>
    <w:rsid w:val="003A6C1B"/>
    <w:rsid w:val="003A7733"/>
    <w:rsid w:val="003A7F7E"/>
    <w:rsid w:val="003B06ED"/>
    <w:rsid w:val="003B24C9"/>
    <w:rsid w:val="003B38BC"/>
    <w:rsid w:val="003B3D8C"/>
    <w:rsid w:val="003B4107"/>
    <w:rsid w:val="003B44DF"/>
    <w:rsid w:val="003C0B07"/>
    <w:rsid w:val="003C28B8"/>
    <w:rsid w:val="003C6ED5"/>
    <w:rsid w:val="003D11A4"/>
    <w:rsid w:val="003D1337"/>
    <w:rsid w:val="003D23F5"/>
    <w:rsid w:val="003D2C6F"/>
    <w:rsid w:val="003D311C"/>
    <w:rsid w:val="003D3C0C"/>
    <w:rsid w:val="003D3E78"/>
    <w:rsid w:val="003D492A"/>
    <w:rsid w:val="003D4BF8"/>
    <w:rsid w:val="003D5268"/>
    <w:rsid w:val="003D6D60"/>
    <w:rsid w:val="003D7277"/>
    <w:rsid w:val="003D7EF5"/>
    <w:rsid w:val="003E0A2B"/>
    <w:rsid w:val="003E180C"/>
    <w:rsid w:val="003E210D"/>
    <w:rsid w:val="003E2A98"/>
    <w:rsid w:val="003E2FEB"/>
    <w:rsid w:val="003E3867"/>
    <w:rsid w:val="003E40BD"/>
    <w:rsid w:val="003E470C"/>
    <w:rsid w:val="003E497F"/>
    <w:rsid w:val="003E4DE2"/>
    <w:rsid w:val="003E4FED"/>
    <w:rsid w:val="003E585E"/>
    <w:rsid w:val="003E5C13"/>
    <w:rsid w:val="003F0AFE"/>
    <w:rsid w:val="003F0D18"/>
    <w:rsid w:val="003F179A"/>
    <w:rsid w:val="003F183E"/>
    <w:rsid w:val="003F390A"/>
    <w:rsid w:val="003F5117"/>
    <w:rsid w:val="003F53CE"/>
    <w:rsid w:val="003F5461"/>
    <w:rsid w:val="003F6591"/>
    <w:rsid w:val="00400418"/>
    <w:rsid w:val="004024A7"/>
    <w:rsid w:val="00403FE2"/>
    <w:rsid w:val="004048E8"/>
    <w:rsid w:val="004063EC"/>
    <w:rsid w:val="00407DCC"/>
    <w:rsid w:val="00411B2D"/>
    <w:rsid w:val="00411B90"/>
    <w:rsid w:val="004121E3"/>
    <w:rsid w:val="00414816"/>
    <w:rsid w:val="00415970"/>
    <w:rsid w:val="00416507"/>
    <w:rsid w:val="00416E9E"/>
    <w:rsid w:val="00417D40"/>
    <w:rsid w:val="00421188"/>
    <w:rsid w:val="00423BC7"/>
    <w:rsid w:val="00423F98"/>
    <w:rsid w:val="00424529"/>
    <w:rsid w:val="0042599C"/>
    <w:rsid w:val="00426BA6"/>
    <w:rsid w:val="00427AD0"/>
    <w:rsid w:val="00430601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51"/>
    <w:rsid w:val="00444BBC"/>
    <w:rsid w:val="004454E7"/>
    <w:rsid w:val="0044688D"/>
    <w:rsid w:val="00450E60"/>
    <w:rsid w:val="00451AEA"/>
    <w:rsid w:val="00453326"/>
    <w:rsid w:val="00454270"/>
    <w:rsid w:val="00454448"/>
    <w:rsid w:val="00454AF5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C66"/>
    <w:rsid w:val="00484BC0"/>
    <w:rsid w:val="00485480"/>
    <w:rsid w:val="0048563D"/>
    <w:rsid w:val="0048632E"/>
    <w:rsid w:val="004867B9"/>
    <w:rsid w:val="00487044"/>
    <w:rsid w:val="0048760C"/>
    <w:rsid w:val="0049007E"/>
    <w:rsid w:val="00490294"/>
    <w:rsid w:val="0049167E"/>
    <w:rsid w:val="00494C02"/>
    <w:rsid w:val="00494DBD"/>
    <w:rsid w:val="004A12FE"/>
    <w:rsid w:val="004A17DF"/>
    <w:rsid w:val="004A6F1D"/>
    <w:rsid w:val="004B0210"/>
    <w:rsid w:val="004B11DF"/>
    <w:rsid w:val="004B260D"/>
    <w:rsid w:val="004B359C"/>
    <w:rsid w:val="004B457F"/>
    <w:rsid w:val="004B670E"/>
    <w:rsid w:val="004B699B"/>
    <w:rsid w:val="004B7146"/>
    <w:rsid w:val="004C1893"/>
    <w:rsid w:val="004C1A09"/>
    <w:rsid w:val="004C4892"/>
    <w:rsid w:val="004C4A47"/>
    <w:rsid w:val="004C7CE6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821"/>
    <w:rsid w:val="004E2EC1"/>
    <w:rsid w:val="004E3224"/>
    <w:rsid w:val="004E3F4C"/>
    <w:rsid w:val="004E7769"/>
    <w:rsid w:val="004F03D4"/>
    <w:rsid w:val="004F1BD4"/>
    <w:rsid w:val="004F483D"/>
    <w:rsid w:val="004F6229"/>
    <w:rsid w:val="004F7B7D"/>
    <w:rsid w:val="004F7DDE"/>
    <w:rsid w:val="00501E51"/>
    <w:rsid w:val="005024C6"/>
    <w:rsid w:val="00502E7C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7C5"/>
    <w:rsid w:val="00513A70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7F39"/>
    <w:rsid w:val="005301EE"/>
    <w:rsid w:val="00530213"/>
    <w:rsid w:val="00530CCD"/>
    <w:rsid w:val="00531F25"/>
    <w:rsid w:val="005334CD"/>
    <w:rsid w:val="00533B6D"/>
    <w:rsid w:val="0053559D"/>
    <w:rsid w:val="00535A5F"/>
    <w:rsid w:val="00536104"/>
    <w:rsid w:val="0054476C"/>
    <w:rsid w:val="0054549C"/>
    <w:rsid w:val="00547EC5"/>
    <w:rsid w:val="00550576"/>
    <w:rsid w:val="005507C7"/>
    <w:rsid w:val="00551D21"/>
    <w:rsid w:val="005522E6"/>
    <w:rsid w:val="00552A13"/>
    <w:rsid w:val="0055322B"/>
    <w:rsid w:val="005546AB"/>
    <w:rsid w:val="00555901"/>
    <w:rsid w:val="00555E01"/>
    <w:rsid w:val="0055725B"/>
    <w:rsid w:val="00560E67"/>
    <w:rsid w:val="005616B4"/>
    <w:rsid w:val="0056201C"/>
    <w:rsid w:val="00565632"/>
    <w:rsid w:val="00567DF9"/>
    <w:rsid w:val="0057232C"/>
    <w:rsid w:val="005726C4"/>
    <w:rsid w:val="00572A58"/>
    <w:rsid w:val="00573544"/>
    <w:rsid w:val="005735F8"/>
    <w:rsid w:val="00574E59"/>
    <w:rsid w:val="005767D7"/>
    <w:rsid w:val="00576B19"/>
    <w:rsid w:val="00577178"/>
    <w:rsid w:val="00581C5A"/>
    <w:rsid w:val="0058216A"/>
    <w:rsid w:val="00582A49"/>
    <w:rsid w:val="00583A72"/>
    <w:rsid w:val="00585DD6"/>
    <w:rsid w:val="00592793"/>
    <w:rsid w:val="005950F5"/>
    <w:rsid w:val="0059737B"/>
    <w:rsid w:val="00597519"/>
    <w:rsid w:val="005A1E7A"/>
    <w:rsid w:val="005A2E84"/>
    <w:rsid w:val="005A3EB7"/>
    <w:rsid w:val="005A3FED"/>
    <w:rsid w:val="005A425B"/>
    <w:rsid w:val="005A5373"/>
    <w:rsid w:val="005A5A5F"/>
    <w:rsid w:val="005A5C8E"/>
    <w:rsid w:val="005A7FBC"/>
    <w:rsid w:val="005B03AA"/>
    <w:rsid w:val="005B08DB"/>
    <w:rsid w:val="005B48F1"/>
    <w:rsid w:val="005B5FB9"/>
    <w:rsid w:val="005B741A"/>
    <w:rsid w:val="005B7A91"/>
    <w:rsid w:val="005C0847"/>
    <w:rsid w:val="005C09D5"/>
    <w:rsid w:val="005C0F9A"/>
    <w:rsid w:val="005C0FA8"/>
    <w:rsid w:val="005C18F6"/>
    <w:rsid w:val="005C28D5"/>
    <w:rsid w:val="005C35CE"/>
    <w:rsid w:val="005C383B"/>
    <w:rsid w:val="005C4673"/>
    <w:rsid w:val="005C4C97"/>
    <w:rsid w:val="005C4FF4"/>
    <w:rsid w:val="005C662D"/>
    <w:rsid w:val="005C6F69"/>
    <w:rsid w:val="005D0EFD"/>
    <w:rsid w:val="005D38C6"/>
    <w:rsid w:val="005D4281"/>
    <w:rsid w:val="005D54CF"/>
    <w:rsid w:val="005D654E"/>
    <w:rsid w:val="005D7ACF"/>
    <w:rsid w:val="005E0AA2"/>
    <w:rsid w:val="005E1382"/>
    <w:rsid w:val="005E5542"/>
    <w:rsid w:val="005E5DAF"/>
    <w:rsid w:val="005F0ADC"/>
    <w:rsid w:val="005F160F"/>
    <w:rsid w:val="00600464"/>
    <w:rsid w:val="0060546D"/>
    <w:rsid w:val="00607FDD"/>
    <w:rsid w:val="00610094"/>
    <w:rsid w:val="006114E1"/>
    <w:rsid w:val="00612A78"/>
    <w:rsid w:val="00613491"/>
    <w:rsid w:val="00613CE4"/>
    <w:rsid w:val="006145F2"/>
    <w:rsid w:val="00620012"/>
    <w:rsid w:val="00621C9E"/>
    <w:rsid w:val="00625134"/>
    <w:rsid w:val="00625404"/>
    <w:rsid w:val="00626442"/>
    <w:rsid w:val="006271AB"/>
    <w:rsid w:val="006308DC"/>
    <w:rsid w:val="00634BD2"/>
    <w:rsid w:val="00634BFB"/>
    <w:rsid w:val="00640788"/>
    <w:rsid w:val="006419C7"/>
    <w:rsid w:val="00642450"/>
    <w:rsid w:val="006430FC"/>
    <w:rsid w:val="00644DD2"/>
    <w:rsid w:val="00646675"/>
    <w:rsid w:val="006502B2"/>
    <w:rsid w:val="0065154F"/>
    <w:rsid w:val="00653EFC"/>
    <w:rsid w:val="006547CD"/>
    <w:rsid w:val="00656BB0"/>
    <w:rsid w:val="00657F3E"/>
    <w:rsid w:val="00660417"/>
    <w:rsid w:val="00660883"/>
    <w:rsid w:val="00660C5B"/>
    <w:rsid w:val="006618E1"/>
    <w:rsid w:val="00661FB8"/>
    <w:rsid w:val="00662348"/>
    <w:rsid w:val="00665005"/>
    <w:rsid w:val="00667A21"/>
    <w:rsid w:val="006701CB"/>
    <w:rsid w:val="00674CE3"/>
    <w:rsid w:val="00674DAF"/>
    <w:rsid w:val="00675151"/>
    <w:rsid w:val="006751EE"/>
    <w:rsid w:val="00675E45"/>
    <w:rsid w:val="00680142"/>
    <w:rsid w:val="006868E6"/>
    <w:rsid w:val="00686F01"/>
    <w:rsid w:val="00690F74"/>
    <w:rsid w:val="00691AB5"/>
    <w:rsid w:val="00691C5B"/>
    <w:rsid w:val="00691F37"/>
    <w:rsid w:val="006923FB"/>
    <w:rsid w:val="0069365D"/>
    <w:rsid w:val="006938CE"/>
    <w:rsid w:val="00693D64"/>
    <w:rsid w:val="00694574"/>
    <w:rsid w:val="0069565A"/>
    <w:rsid w:val="006969D3"/>
    <w:rsid w:val="0069782F"/>
    <w:rsid w:val="006979D1"/>
    <w:rsid w:val="006979F8"/>
    <w:rsid w:val="006A096C"/>
    <w:rsid w:val="006A144D"/>
    <w:rsid w:val="006A621B"/>
    <w:rsid w:val="006A68D4"/>
    <w:rsid w:val="006B1D02"/>
    <w:rsid w:val="006B3270"/>
    <w:rsid w:val="006B459B"/>
    <w:rsid w:val="006B59CA"/>
    <w:rsid w:val="006B7AB2"/>
    <w:rsid w:val="006C01EF"/>
    <w:rsid w:val="006C2A69"/>
    <w:rsid w:val="006C2A74"/>
    <w:rsid w:val="006C3B05"/>
    <w:rsid w:val="006C3E34"/>
    <w:rsid w:val="006C3FDD"/>
    <w:rsid w:val="006C40BC"/>
    <w:rsid w:val="006C4E8E"/>
    <w:rsid w:val="006C519D"/>
    <w:rsid w:val="006C5375"/>
    <w:rsid w:val="006C56CE"/>
    <w:rsid w:val="006C5A37"/>
    <w:rsid w:val="006C5CA2"/>
    <w:rsid w:val="006C6F16"/>
    <w:rsid w:val="006C70F2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673B"/>
    <w:rsid w:val="006E7776"/>
    <w:rsid w:val="006F063A"/>
    <w:rsid w:val="006F2EF2"/>
    <w:rsid w:val="006F34F4"/>
    <w:rsid w:val="006F3DA4"/>
    <w:rsid w:val="006F5BDB"/>
    <w:rsid w:val="00701C53"/>
    <w:rsid w:val="00701DDA"/>
    <w:rsid w:val="00703083"/>
    <w:rsid w:val="00703841"/>
    <w:rsid w:val="00704ED7"/>
    <w:rsid w:val="007058DD"/>
    <w:rsid w:val="00711B54"/>
    <w:rsid w:val="00711EC7"/>
    <w:rsid w:val="0071427A"/>
    <w:rsid w:val="00714291"/>
    <w:rsid w:val="00714561"/>
    <w:rsid w:val="007147CE"/>
    <w:rsid w:val="00714814"/>
    <w:rsid w:val="00715595"/>
    <w:rsid w:val="0071692E"/>
    <w:rsid w:val="00716A49"/>
    <w:rsid w:val="00721569"/>
    <w:rsid w:val="00723724"/>
    <w:rsid w:val="00723D39"/>
    <w:rsid w:val="007247B7"/>
    <w:rsid w:val="00725050"/>
    <w:rsid w:val="00725353"/>
    <w:rsid w:val="00726A78"/>
    <w:rsid w:val="00726ACD"/>
    <w:rsid w:val="0072714B"/>
    <w:rsid w:val="00727E3D"/>
    <w:rsid w:val="00727F54"/>
    <w:rsid w:val="00730612"/>
    <w:rsid w:val="007317ED"/>
    <w:rsid w:val="007329FD"/>
    <w:rsid w:val="00735BA0"/>
    <w:rsid w:val="00736549"/>
    <w:rsid w:val="00736E49"/>
    <w:rsid w:val="00737DEA"/>
    <w:rsid w:val="007404D8"/>
    <w:rsid w:val="00742C97"/>
    <w:rsid w:val="00743BA0"/>
    <w:rsid w:val="00743D59"/>
    <w:rsid w:val="00744A0B"/>
    <w:rsid w:val="007464A4"/>
    <w:rsid w:val="00747B24"/>
    <w:rsid w:val="007502F2"/>
    <w:rsid w:val="00750FF3"/>
    <w:rsid w:val="007524E9"/>
    <w:rsid w:val="00752555"/>
    <w:rsid w:val="00753249"/>
    <w:rsid w:val="00760E5E"/>
    <w:rsid w:val="0076130E"/>
    <w:rsid w:val="0076274C"/>
    <w:rsid w:val="00762AEE"/>
    <w:rsid w:val="00763101"/>
    <w:rsid w:val="0076378C"/>
    <w:rsid w:val="00765B13"/>
    <w:rsid w:val="0077089D"/>
    <w:rsid w:val="00773007"/>
    <w:rsid w:val="00774596"/>
    <w:rsid w:val="007745E0"/>
    <w:rsid w:val="007749FE"/>
    <w:rsid w:val="00776B45"/>
    <w:rsid w:val="007775CD"/>
    <w:rsid w:val="0078031F"/>
    <w:rsid w:val="00780855"/>
    <w:rsid w:val="00782740"/>
    <w:rsid w:val="007827BA"/>
    <w:rsid w:val="00784B47"/>
    <w:rsid w:val="00785021"/>
    <w:rsid w:val="00785CE3"/>
    <w:rsid w:val="00787EEE"/>
    <w:rsid w:val="00790951"/>
    <w:rsid w:val="00795825"/>
    <w:rsid w:val="00795846"/>
    <w:rsid w:val="007960FF"/>
    <w:rsid w:val="0079687D"/>
    <w:rsid w:val="0079788C"/>
    <w:rsid w:val="007A0584"/>
    <w:rsid w:val="007A0E90"/>
    <w:rsid w:val="007A1CBA"/>
    <w:rsid w:val="007A27D1"/>
    <w:rsid w:val="007A4C85"/>
    <w:rsid w:val="007A6127"/>
    <w:rsid w:val="007A63A8"/>
    <w:rsid w:val="007A6E1B"/>
    <w:rsid w:val="007A7C49"/>
    <w:rsid w:val="007A7F2B"/>
    <w:rsid w:val="007B22A9"/>
    <w:rsid w:val="007B4702"/>
    <w:rsid w:val="007B5F43"/>
    <w:rsid w:val="007B5FAA"/>
    <w:rsid w:val="007C0CEB"/>
    <w:rsid w:val="007C146E"/>
    <w:rsid w:val="007C154A"/>
    <w:rsid w:val="007C3786"/>
    <w:rsid w:val="007D0C3C"/>
    <w:rsid w:val="007D21E4"/>
    <w:rsid w:val="007D2E5F"/>
    <w:rsid w:val="007D30B1"/>
    <w:rsid w:val="007D3E8B"/>
    <w:rsid w:val="007D5B54"/>
    <w:rsid w:val="007E0058"/>
    <w:rsid w:val="007E264E"/>
    <w:rsid w:val="007E4C1F"/>
    <w:rsid w:val="007E78C3"/>
    <w:rsid w:val="007F00AA"/>
    <w:rsid w:val="007F0287"/>
    <w:rsid w:val="007F0998"/>
    <w:rsid w:val="007F135B"/>
    <w:rsid w:val="007F15AA"/>
    <w:rsid w:val="007F1DA9"/>
    <w:rsid w:val="007F2006"/>
    <w:rsid w:val="007F273B"/>
    <w:rsid w:val="007F32E2"/>
    <w:rsid w:val="007F33E2"/>
    <w:rsid w:val="007F4306"/>
    <w:rsid w:val="007F5987"/>
    <w:rsid w:val="00800B40"/>
    <w:rsid w:val="00800D65"/>
    <w:rsid w:val="00802646"/>
    <w:rsid w:val="00803030"/>
    <w:rsid w:val="00805DF5"/>
    <w:rsid w:val="0081100B"/>
    <w:rsid w:val="0081296D"/>
    <w:rsid w:val="008151F6"/>
    <w:rsid w:val="00817F3C"/>
    <w:rsid w:val="0082206A"/>
    <w:rsid w:val="00822925"/>
    <w:rsid w:val="00822C62"/>
    <w:rsid w:val="008238F6"/>
    <w:rsid w:val="00823FBD"/>
    <w:rsid w:val="008273E3"/>
    <w:rsid w:val="00832AD8"/>
    <w:rsid w:val="00833102"/>
    <w:rsid w:val="008339A2"/>
    <w:rsid w:val="00833A2F"/>
    <w:rsid w:val="00836CBC"/>
    <w:rsid w:val="00837202"/>
    <w:rsid w:val="00837B81"/>
    <w:rsid w:val="00837DB9"/>
    <w:rsid w:val="00840D58"/>
    <w:rsid w:val="00841469"/>
    <w:rsid w:val="008415ED"/>
    <w:rsid w:val="0084294D"/>
    <w:rsid w:val="00844EAC"/>
    <w:rsid w:val="00847AF8"/>
    <w:rsid w:val="00851D4A"/>
    <w:rsid w:val="008530DD"/>
    <w:rsid w:val="00854F0D"/>
    <w:rsid w:val="00854FFF"/>
    <w:rsid w:val="008567B9"/>
    <w:rsid w:val="00864850"/>
    <w:rsid w:val="00866439"/>
    <w:rsid w:val="008714FE"/>
    <w:rsid w:val="008716A2"/>
    <w:rsid w:val="00871776"/>
    <w:rsid w:val="00872709"/>
    <w:rsid w:val="00874723"/>
    <w:rsid w:val="00874F42"/>
    <w:rsid w:val="008751CA"/>
    <w:rsid w:val="008764B6"/>
    <w:rsid w:val="008822F5"/>
    <w:rsid w:val="00882E79"/>
    <w:rsid w:val="00884CB9"/>
    <w:rsid w:val="008856DD"/>
    <w:rsid w:val="0088664D"/>
    <w:rsid w:val="0088777A"/>
    <w:rsid w:val="00891976"/>
    <w:rsid w:val="008924B5"/>
    <w:rsid w:val="00894721"/>
    <w:rsid w:val="00894AFF"/>
    <w:rsid w:val="00894EBE"/>
    <w:rsid w:val="008955BD"/>
    <w:rsid w:val="008966FC"/>
    <w:rsid w:val="008A00D4"/>
    <w:rsid w:val="008A1527"/>
    <w:rsid w:val="008A1754"/>
    <w:rsid w:val="008A442B"/>
    <w:rsid w:val="008A4693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0DF1"/>
    <w:rsid w:val="008C1817"/>
    <w:rsid w:val="008C63D9"/>
    <w:rsid w:val="008C6FFB"/>
    <w:rsid w:val="008D0BE2"/>
    <w:rsid w:val="008D1B58"/>
    <w:rsid w:val="008D22C4"/>
    <w:rsid w:val="008D258D"/>
    <w:rsid w:val="008D2A0C"/>
    <w:rsid w:val="008D3EB4"/>
    <w:rsid w:val="008D42B6"/>
    <w:rsid w:val="008D449C"/>
    <w:rsid w:val="008D618A"/>
    <w:rsid w:val="008D7A4B"/>
    <w:rsid w:val="008E0C87"/>
    <w:rsid w:val="008E3504"/>
    <w:rsid w:val="008E3733"/>
    <w:rsid w:val="008E4262"/>
    <w:rsid w:val="008E4B46"/>
    <w:rsid w:val="008E50E0"/>
    <w:rsid w:val="008E6DEB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114E"/>
    <w:rsid w:val="00922A23"/>
    <w:rsid w:val="009234B1"/>
    <w:rsid w:val="00923C09"/>
    <w:rsid w:val="00924C03"/>
    <w:rsid w:val="00924CB8"/>
    <w:rsid w:val="00927EA9"/>
    <w:rsid w:val="009307BB"/>
    <w:rsid w:val="009313A4"/>
    <w:rsid w:val="00932EB9"/>
    <w:rsid w:val="009352A0"/>
    <w:rsid w:val="00935722"/>
    <w:rsid w:val="00937FBB"/>
    <w:rsid w:val="00945BD2"/>
    <w:rsid w:val="009462BC"/>
    <w:rsid w:val="00946E19"/>
    <w:rsid w:val="00947B8D"/>
    <w:rsid w:val="00950F1C"/>
    <w:rsid w:val="00952812"/>
    <w:rsid w:val="00953324"/>
    <w:rsid w:val="009624BB"/>
    <w:rsid w:val="00963006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4BFC"/>
    <w:rsid w:val="00975FE5"/>
    <w:rsid w:val="00977631"/>
    <w:rsid w:val="00983F2F"/>
    <w:rsid w:val="00984074"/>
    <w:rsid w:val="00984FC0"/>
    <w:rsid w:val="009854D8"/>
    <w:rsid w:val="00986BBF"/>
    <w:rsid w:val="00987AF6"/>
    <w:rsid w:val="0099268E"/>
    <w:rsid w:val="009941A0"/>
    <w:rsid w:val="009944D8"/>
    <w:rsid w:val="00994DCC"/>
    <w:rsid w:val="0099536B"/>
    <w:rsid w:val="00996320"/>
    <w:rsid w:val="00997080"/>
    <w:rsid w:val="00997DF7"/>
    <w:rsid w:val="009A0279"/>
    <w:rsid w:val="009A0A56"/>
    <w:rsid w:val="009A17FE"/>
    <w:rsid w:val="009A2542"/>
    <w:rsid w:val="009A2C9D"/>
    <w:rsid w:val="009A3E84"/>
    <w:rsid w:val="009A6D05"/>
    <w:rsid w:val="009A794F"/>
    <w:rsid w:val="009B0429"/>
    <w:rsid w:val="009B111C"/>
    <w:rsid w:val="009B2367"/>
    <w:rsid w:val="009B5431"/>
    <w:rsid w:val="009C1C26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DB4"/>
    <w:rsid w:val="009E2C23"/>
    <w:rsid w:val="009E3467"/>
    <w:rsid w:val="009E56E0"/>
    <w:rsid w:val="009E6EE0"/>
    <w:rsid w:val="009F0063"/>
    <w:rsid w:val="009F04D4"/>
    <w:rsid w:val="009F33D1"/>
    <w:rsid w:val="009F5128"/>
    <w:rsid w:val="009F5A13"/>
    <w:rsid w:val="009F6571"/>
    <w:rsid w:val="00A00AE1"/>
    <w:rsid w:val="00A01F44"/>
    <w:rsid w:val="00A02611"/>
    <w:rsid w:val="00A05190"/>
    <w:rsid w:val="00A1011D"/>
    <w:rsid w:val="00A10F95"/>
    <w:rsid w:val="00A13201"/>
    <w:rsid w:val="00A134E2"/>
    <w:rsid w:val="00A150E0"/>
    <w:rsid w:val="00A165D4"/>
    <w:rsid w:val="00A170DF"/>
    <w:rsid w:val="00A17124"/>
    <w:rsid w:val="00A179E9"/>
    <w:rsid w:val="00A20FA8"/>
    <w:rsid w:val="00A21AF9"/>
    <w:rsid w:val="00A220F8"/>
    <w:rsid w:val="00A2225A"/>
    <w:rsid w:val="00A23314"/>
    <w:rsid w:val="00A23652"/>
    <w:rsid w:val="00A24CEE"/>
    <w:rsid w:val="00A25338"/>
    <w:rsid w:val="00A2637D"/>
    <w:rsid w:val="00A314F7"/>
    <w:rsid w:val="00A315D9"/>
    <w:rsid w:val="00A31D76"/>
    <w:rsid w:val="00A337E8"/>
    <w:rsid w:val="00A33859"/>
    <w:rsid w:val="00A34E9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504"/>
    <w:rsid w:val="00A63B7F"/>
    <w:rsid w:val="00A6465F"/>
    <w:rsid w:val="00A64A95"/>
    <w:rsid w:val="00A64B46"/>
    <w:rsid w:val="00A65A62"/>
    <w:rsid w:val="00A66DF6"/>
    <w:rsid w:val="00A6758C"/>
    <w:rsid w:val="00A72B49"/>
    <w:rsid w:val="00A73671"/>
    <w:rsid w:val="00A74833"/>
    <w:rsid w:val="00A754CA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530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AEA"/>
    <w:rsid w:val="00AB244F"/>
    <w:rsid w:val="00AB2552"/>
    <w:rsid w:val="00AB3C8D"/>
    <w:rsid w:val="00AB5C85"/>
    <w:rsid w:val="00AC0AAE"/>
    <w:rsid w:val="00AC0E98"/>
    <w:rsid w:val="00AC19C9"/>
    <w:rsid w:val="00AC1DFE"/>
    <w:rsid w:val="00AC38FF"/>
    <w:rsid w:val="00AC4095"/>
    <w:rsid w:val="00AC40F6"/>
    <w:rsid w:val="00AC417E"/>
    <w:rsid w:val="00AC4564"/>
    <w:rsid w:val="00AC69EB"/>
    <w:rsid w:val="00AC6F27"/>
    <w:rsid w:val="00AC7046"/>
    <w:rsid w:val="00AC739E"/>
    <w:rsid w:val="00AD08FB"/>
    <w:rsid w:val="00AD0C87"/>
    <w:rsid w:val="00AD19BF"/>
    <w:rsid w:val="00AD1BDD"/>
    <w:rsid w:val="00AD2BBA"/>
    <w:rsid w:val="00AE0172"/>
    <w:rsid w:val="00AE09E0"/>
    <w:rsid w:val="00AE148C"/>
    <w:rsid w:val="00AE19A4"/>
    <w:rsid w:val="00AE31EC"/>
    <w:rsid w:val="00AE3CD8"/>
    <w:rsid w:val="00AE3D3F"/>
    <w:rsid w:val="00AE4F59"/>
    <w:rsid w:val="00AE65E1"/>
    <w:rsid w:val="00AF29FE"/>
    <w:rsid w:val="00AF341C"/>
    <w:rsid w:val="00AF42C0"/>
    <w:rsid w:val="00AF451B"/>
    <w:rsid w:val="00AF48CB"/>
    <w:rsid w:val="00AF6965"/>
    <w:rsid w:val="00AF77E5"/>
    <w:rsid w:val="00B007A5"/>
    <w:rsid w:val="00B01279"/>
    <w:rsid w:val="00B0139A"/>
    <w:rsid w:val="00B02D94"/>
    <w:rsid w:val="00B02F08"/>
    <w:rsid w:val="00B03B75"/>
    <w:rsid w:val="00B10051"/>
    <w:rsid w:val="00B11032"/>
    <w:rsid w:val="00B13ADD"/>
    <w:rsid w:val="00B14352"/>
    <w:rsid w:val="00B15291"/>
    <w:rsid w:val="00B1600F"/>
    <w:rsid w:val="00B20424"/>
    <w:rsid w:val="00B222BE"/>
    <w:rsid w:val="00B23E56"/>
    <w:rsid w:val="00B25AF2"/>
    <w:rsid w:val="00B2649A"/>
    <w:rsid w:val="00B2652F"/>
    <w:rsid w:val="00B30572"/>
    <w:rsid w:val="00B30A6A"/>
    <w:rsid w:val="00B30BA7"/>
    <w:rsid w:val="00B31745"/>
    <w:rsid w:val="00B31869"/>
    <w:rsid w:val="00B31C5C"/>
    <w:rsid w:val="00B34E5A"/>
    <w:rsid w:val="00B35B86"/>
    <w:rsid w:val="00B3718D"/>
    <w:rsid w:val="00B40919"/>
    <w:rsid w:val="00B4143F"/>
    <w:rsid w:val="00B419E9"/>
    <w:rsid w:val="00B432C6"/>
    <w:rsid w:val="00B43D8A"/>
    <w:rsid w:val="00B447D3"/>
    <w:rsid w:val="00B44A57"/>
    <w:rsid w:val="00B471DD"/>
    <w:rsid w:val="00B4769F"/>
    <w:rsid w:val="00B5044B"/>
    <w:rsid w:val="00B53DDC"/>
    <w:rsid w:val="00B54E20"/>
    <w:rsid w:val="00B5509F"/>
    <w:rsid w:val="00B55CC4"/>
    <w:rsid w:val="00B55F88"/>
    <w:rsid w:val="00B60E24"/>
    <w:rsid w:val="00B62209"/>
    <w:rsid w:val="00B627BC"/>
    <w:rsid w:val="00B627DF"/>
    <w:rsid w:val="00B62DCF"/>
    <w:rsid w:val="00B65B7E"/>
    <w:rsid w:val="00B66588"/>
    <w:rsid w:val="00B67868"/>
    <w:rsid w:val="00B67C4A"/>
    <w:rsid w:val="00B71B38"/>
    <w:rsid w:val="00B776BE"/>
    <w:rsid w:val="00B8191C"/>
    <w:rsid w:val="00B82303"/>
    <w:rsid w:val="00B83B6A"/>
    <w:rsid w:val="00B8448A"/>
    <w:rsid w:val="00B85C6D"/>
    <w:rsid w:val="00B86231"/>
    <w:rsid w:val="00B87DD9"/>
    <w:rsid w:val="00B9061C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0AC8"/>
    <w:rsid w:val="00BB12CE"/>
    <w:rsid w:val="00BB173D"/>
    <w:rsid w:val="00BB2066"/>
    <w:rsid w:val="00BB4F73"/>
    <w:rsid w:val="00BB54B8"/>
    <w:rsid w:val="00BB5AF3"/>
    <w:rsid w:val="00BB6D1B"/>
    <w:rsid w:val="00BB7B81"/>
    <w:rsid w:val="00BC12E8"/>
    <w:rsid w:val="00BC1BD9"/>
    <w:rsid w:val="00BC20CE"/>
    <w:rsid w:val="00BC26BC"/>
    <w:rsid w:val="00BC3B9A"/>
    <w:rsid w:val="00BC4A73"/>
    <w:rsid w:val="00BD548D"/>
    <w:rsid w:val="00BE08DD"/>
    <w:rsid w:val="00BE322B"/>
    <w:rsid w:val="00BE4D8D"/>
    <w:rsid w:val="00BE51DD"/>
    <w:rsid w:val="00BE7179"/>
    <w:rsid w:val="00BE7409"/>
    <w:rsid w:val="00BE77DD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341F"/>
    <w:rsid w:val="00C216F2"/>
    <w:rsid w:val="00C2201A"/>
    <w:rsid w:val="00C247B0"/>
    <w:rsid w:val="00C26427"/>
    <w:rsid w:val="00C30999"/>
    <w:rsid w:val="00C30D3B"/>
    <w:rsid w:val="00C33F18"/>
    <w:rsid w:val="00C35B01"/>
    <w:rsid w:val="00C36AB8"/>
    <w:rsid w:val="00C3791C"/>
    <w:rsid w:val="00C37B8D"/>
    <w:rsid w:val="00C4034C"/>
    <w:rsid w:val="00C4042F"/>
    <w:rsid w:val="00C41A20"/>
    <w:rsid w:val="00C4211B"/>
    <w:rsid w:val="00C42272"/>
    <w:rsid w:val="00C425C8"/>
    <w:rsid w:val="00C42608"/>
    <w:rsid w:val="00C439DC"/>
    <w:rsid w:val="00C44B68"/>
    <w:rsid w:val="00C50ADC"/>
    <w:rsid w:val="00C528D8"/>
    <w:rsid w:val="00C52A76"/>
    <w:rsid w:val="00C53739"/>
    <w:rsid w:val="00C54536"/>
    <w:rsid w:val="00C5685A"/>
    <w:rsid w:val="00C56A71"/>
    <w:rsid w:val="00C57088"/>
    <w:rsid w:val="00C57BB4"/>
    <w:rsid w:val="00C61C9C"/>
    <w:rsid w:val="00C62B48"/>
    <w:rsid w:val="00C63403"/>
    <w:rsid w:val="00C63911"/>
    <w:rsid w:val="00C643A0"/>
    <w:rsid w:val="00C64608"/>
    <w:rsid w:val="00C655C7"/>
    <w:rsid w:val="00C66428"/>
    <w:rsid w:val="00C66F40"/>
    <w:rsid w:val="00C670F7"/>
    <w:rsid w:val="00C70F91"/>
    <w:rsid w:val="00C74F0E"/>
    <w:rsid w:val="00C75017"/>
    <w:rsid w:val="00C773A1"/>
    <w:rsid w:val="00C80225"/>
    <w:rsid w:val="00C817FD"/>
    <w:rsid w:val="00C82485"/>
    <w:rsid w:val="00C8271F"/>
    <w:rsid w:val="00C828D5"/>
    <w:rsid w:val="00C83977"/>
    <w:rsid w:val="00C8589C"/>
    <w:rsid w:val="00C85C09"/>
    <w:rsid w:val="00C87384"/>
    <w:rsid w:val="00C879D8"/>
    <w:rsid w:val="00C91B20"/>
    <w:rsid w:val="00C9223D"/>
    <w:rsid w:val="00C940F1"/>
    <w:rsid w:val="00C94E22"/>
    <w:rsid w:val="00C95F81"/>
    <w:rsid w:val="00C965AD"/>
    <w:rsid w:val="00C96FE4"/>
    <w:rsid w:val="00C97DAF"/>
    <w:rsid w:val="00CA0934"/>
    <w:rsid w:val="00CA0EFD"/>
    <w:rsid w:val="00CA4640"/>
    <w:rsid w:val="00CA54DD"/>
    <w:rsid w:val="00CA5671"/>
    <w:rsid w:val="00CA69AA"/>
    <w:rsid w:val="00CB2454"/>
    <w:rsid w:val="00CB4334"/>
    <w:rsid w:val="00CB6290"/>
    <w:rsid w:val="00CB6414"/>
    <w:rsid w:val="00CB656B"/>
    <w:rsid w:val="00CB6FBB"/>
    <w:rsid w:val="00CB705D"/>
    <w:rsid w:val="00CC1AD7"/>
    <w:rsid w:val="00CC652D"/>
    <w:rsid w:val="00CC7ECC"/>
    <w:rsid w:val="00CD13C5"/>
    <w:rsid w:val="00CD1BB9"/>
    <w:rsid w:val="00CD1DE3"/>
    <w:rsid w:val="00CD4C7E"/>
    <w:rsid w:val="00CD53F7"/>
    <w:rsid w:val="00CE1D76"/>
    <w:rsid w:val="00CE2DD6"/>
    <w:rsid w:val="00CE3628"/>
    <w:rsid w:val="00CE3B46"/>
    <w:rsid w:val="00CE48E0"/>
    <w:rsid w:val="00CE5B30"/>
    <w:rsid w:val="00CE69BB"/>
    <w:rsid w:val="00CE7AB9"/>
    <w:rsid w:val="00CF054D"/>
    <w:rsid w:val="00CF0DE9"/>
    <w:rsid w:val="00CF125D"/>
    <w:rsid w:val="00CF19F2"/>
    <w:rsid w:val="00CF1C02"/>
    <w:rsid w:val="00CF229F"/>
    <w:rsid w:val="00CF2A97"/>
    <w:rsid w:val="00CF3B0B"/>
    <w:rsid w:val="00CF5170"/>
    <w:rsid w:val="00CF5321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8B0"/>
    <w:rsid w:val="00D217A3"/>
    <w:rsid w:val="00D229DB"/>
    <w:rsid w:val="00D23EFE"/>
    <w:rsid w:val="00D25AB3"/>
    <w:rsid w:val="00D30669"/>
    <w:rsid w:val="00D30BB4"/>
    <w:rsid w:val="00D31A94"/>
    <w:rsid w:val="00D34286"/>
    <w:rsid w:val="00D356D6"/>
    <w:rsid w:val="00D35B71"/>
    <w:rsid w:val="00D368D3"/>
    <w:rsid w:val="00D40D42"/>
    <w:rsid w:val="00D41E89"/>
    <w:rsid w:val="00D41F74"/>
    <w:rsid w:val="00D42B09"/>
    <w:rsid w:val="00D465F5"/>
    <w:rsid w:val="00D476D7"/>
    <w:rsid w:val="00D47C9A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2997"/>
    <w:rsid w:val="00D6440A"/>
    <w:rsid w:val="00D64B85"/>
    <w:rsid w:val="00D72099"/>
    <w:rsid w:val="00D72991"/>
    <w:rsid w:val="00D72F6C"/>
    <w:rsid w:val="00D73BD0"/>
    <w:rsid w:val="00D744CA"/>
    <w:rsid w:val="00D7539C"/>
    <w:rsid w:val="00D753EF"/>
    <w:rsid w:val="00D77A8E"/>
    <w:rsid w:val="00D83740"/>
    <w:rsid w:val="00D87434"/>
    <w:rsid w:val="00D875A0"/>
    <w:rsid w:val="00D875CE"/>
    <w:rsid w:val="00D90172"/>
    <w:rsid w:val="00D90596"/>
    <w:rsid w:val="00D938AC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2A06"/>
    <w:rsid w:val="00DB40D5"/>
    <w:rsid w:val="00DB5D18"/>
    <w:rsid w:val="00DB7318"/>
    <w:rsid w:val="00DB7DF8"/>
    <w:rsid w:val="00DC1474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57A"/>
    <w:rsid w:val="00DE1186"/>
    <w:rsid w:val="00DE1369"/>
    <w:rsid w:val="00DE174D"/>
    <w:rsid w:val="00DE1D81"/>
    <w:rsid w:val="00DE1FF5"/>
    <w:rsid w:val="00DE2D0C"/>
    <w:rsid w:val="00DE3E6C"/>
    <w:rsid w:val="00DE5C13"/>
    <w:rsid w:val="00DF3E5D"/>
    <w:rsid w:val="00DF5C67"/>
    <w:rsid w:val="00DF62B3"/>
    <w:rsid w:val="00DF7897"/>
    <w:rsid w:val="00E0008C"/>
    <w:rsid w:val="00E00B36"/>
    <w:rsid w:val="00E00F91"/>
    <w:rsid w:val="00E03515"/>
    <w:rsid w:val="00E03BF1"/>
    <w:rsid w:val="00E03FB0"/>
    <w:rsid w:val="00E04ED7"/>
    <w:rsid w:val="00E062D2"/>
    <w:rsid w:val="00E10CF6"/>
    <w:rsid w:val="00E112F3"/>
    <w:rsid w:val="00E123B4"/>
    <w:rsid w:val="00E128BA"/>
    <w:rsid w:val="00E12983"/>
    <w:rsid w:val="00E1526A"/>
    <w:rsid w:val="00E15674"/>
    <w:rsid w:val="00E21CB5"/>
    <w:rsid w:val="00E22875"/>
    <w:rsid w:val="00E23140"/>
    <w:rsid w:val="00E26BD2"/>
    <w:rsid w:val="00E3138D"/>
    <w:rsid w:val="00E33BC8"/>
    <w:rsid w:val="00E34CEF"/>
    <w:rsid w:val="00E4024C"/>
    <w:rsid w:val="00E40FB7"/>
    <w:rsid w:val="00E419B4"/>
    <w:rsid w:val="00E42354"/>
    <w:rsid w:val="00E43F71"/>
    <w:rsid w:val="00E45567"/>
    <w:rsid w:val="00E45624"/>
    <w:rsid w:val="00E4593A"/>
    <w:rsid w:val="00E50DA6"/>
    <w:rsid w:val="00E51F8B"/>
    <w:rsid w:val="00E534BC"/>
    <w:rsid w:val="00E54F55"/>
    <w:rsid w:val="00E57945"/>
    <w:rsid w:val="00E57F1F"/>
    <w:rsid w:val="00E63A83"/>
    <w:rsid w:val="00E647B1"/>
    <w:rsid w:val="00E64901"/>
    <w:rsid w:val="00E70EC2"/>
    <w:rsid w:val="00E7150E"/>
    <w:rsid w:val="00E71A9F"/>
    <w:rsid w:val="00E728AB"/>
    <w:rsid w:val="00E732C4"/>
    <w:rsid w:val="00E74104"/>
    <w:rsid w:val="00E75765"/>
    <w:rsid w:val="00E7649E"/>
    <w:rsid w:val="00E77AC3"/>
    <w:rsid w:val="00E803AB"/>
    <w:rsid w:val="00E91360"/>
    <w:rsid w:val="00E913DA"/>
    <w:rsid w:val="00E92C3C"/>
    <w:rsid w:val="00E93D7C"/>
    <w:rsid w:val="00E96826"/>
    <w:rsid w:val="00EA26E4"/>
    <w:rsid w:val="00EA4E96"/>
    <w:rsid w:val="00EA5A4D"/>
    <w:rsid w:val="00EA6C7D"/>
    <w:rsid w:val="00EA79AB"/>
    <w:rsid w:val="00EB018B"/>
    <w:rsid w:val="00EB0611"/>
    <w:rsid w:val="00EB1C61"/>
    <w:rsid w:val="00EB4072"/>
    <w:rsid w:val="00EB449E"/>
    <w:rsid w:val="00EC163B"/>
    <w:rsid w:val="00EC1ADE"/>
    <w:rsid w:val="00EC397D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5C5"/>
    <w:rsid w:val="00ED6E01"/>
    <w:rsid w:val="00ED72CD"/>
    <w:rsid w:val="00ED7462"/>
    <w:rsid w:val="00ED763D"/>
    <w:rsid w:val="00ED79B1"/>
    <w:rsid w:val="00EE0BD1"/>
    <w:rsid w:val="00EE0F93"/>
    <w:rsid w:val="00EE249F"/>
    <w:rsid w:val="00EE24AD"/>
    <w:rsid w:val="00EE252D"/>
    <w:rsid w:val="00EE2BF9"/>
    <w:rsid w:val="00EE6330"/>
    <w:rsid w:val="00EF1BE3"/>
    <w:rsid w:val="00EF4D64"/>
    <w:rsid w:val="00EF5A5D"/>
    <w:rsid w:val="00EF61FA"/>
    <w:rsid w:val="00EF77FF"/>
    <w:rsid w:val="00F0089F"/>
    <w:rsid w:val="00F00BB9"/>
    <w:rsid w:val="00F01C09"/>
    <w:rsid w:val="00F01F43"/>
    <w:rsid w:val="00F03F56"/>
    <w:rsid w:val="00F052BC"/>
    <w:rsid w:val="00F06151"/>
    <w:rsid w:val="00F0662D"/>
    <w:rsid w:val="00F07F0B"/>
    <w:rsid w:val="00F10361"/>
    <w:rsid w:val="00F10ABA"/>
    <w:rsid w:val="00F1116B"/>
    <w:rsid w:val="00F1157A"/>
    <w:rsid w:val="00F115F6"/>
    <w:rsid w:val="00F12E33"/>
    <w:rsid w:val="00F13108"/>
    <w:rsid w:val="00F14781"/>
    <w:rsid w:val="00F151ED"/>
    <w:rsid w:val="00F157E1"/>
    <w:rsid w:val="00F15849"/>
    <w:rsid w:val="00F16AD7"/>
    <w:rsid w:val="00F16E15"/>
    <w:rsid w:val="00F1724A"/>
    <w:rsid w:val="00F175F9"/>
    <w:rsid w:val="00F2043E"/>
    <w:rsid w:val="00F2093A"/>
    <w:rsid w:val="00F235BA"/>
    <w:rsid w:val="00F2409B"/>
    <w:rsid w:val="00F24C11"/>
    <w:rsid w:val="00F25A65"/>
    <w:rsid w:val="00F25ECC"/>
    <w:rsid w:val="00F274B5"/>
    <w:rsid w:val="00F32F44"/>
    <w:rsid w:val="00F336CA"/>
    <w:rsid w:val="00F33733"/>
    <w:rsid w:val="00F33E60"/>
    <w:rsid w:val="00F34494"/>
    <w:rsid w:val="00F368E3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47D"/>
    <w:rsid w:val="00F535B2"/>
    <w:rsid w:val="00F54EB8"/>
    <w:rsid w:val="00F56BD7"/>
    <w:rsid w:val="00F60EFB"/>
    <w:rsid w:val="00F61A13"/>
    <w:rsid w:val="00F61FB3"/>
    <w:rsid w:val="00F64440"/>
    <w:rsid w:val="00F649BC"/>
    <w:rsid w:val="00F66CDC"/>
    <w:rsid w:val="00F6753C"/>
    <w:rsid w:val="00F67670"/>
    <w:rsid w:val="00F70E19"/>
    <w:rsid w:val="00F71543"/>
    <w:rsid w:val="00F71586"/>
    <w:rsid w:val="00F717D1"/>
    <w:rsid w:val="00F719D0"/>
    <w:rsid w:val="00F72C28"/>
    <w:rsid w:val="00F759CA"/>
    <w:rsid w:val="00F76AC0"/>
    <w:rsid w:val="00F77DB0"/>
    <w:rsid w:val="00F8015E"/>
    <w:rsid w:val="00F81582"/>
    <w:rsid w:val="00F824B7"/>
    <w:rsid w:val="00F824FE"/>
    <w:rsid w:val="00F8598A"/>
    <w:rsid w:val="00F85CBD"/>
    <w:rsid w:val="00F86561"/>
    <w:rsid w:val="00F86627"/>
    <w:rsid w:val="00F869C9"/>
    <w:rsid w:val="00F8727A"/>
    <w:rsid w:val="00F91CEC"/>
    <w:rsid w:val="00F9455F"/>
    <w:rsid w:val="00F94CE3"/>
    <w:rsid w:val="00F94EBE"/>
    <w:rsid w:val="00F94EE8"/>
    <w:rsid w:val="00F95D3A"/>
    <w:rsid w:val="00F95E2D"/>
    <w:rsid w:val="00FA1430"/>
    <w:rsid w:val="00FA3831"/>
    <w:rsid w:val="00FB1947"/>
    <w:rsid w:val="00FB24CE"/>
    <w:rsid w:val="00FB7365"/>
    <w:rsid w:val="00FC04AD"/>
    <w:rsid w:val="00FC22DE"/>
    <w:rsid w:val="00FC2581"/>
    <w:rsid w:val="00FC4B49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981867"/>
  <w15:docId w15:val="{0703B723-D9F9-477B-9004-CC109D69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B419E9"/>
    <w:pPr>
      <w:tabs>
        <w:tab w:val="right" w:leader="dot" w:pos="8828"/>
      </w:tabs>
      <w:spacing w:line="360" w:lineRule="auto"/>
    </w:pPr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2093A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Descripcin">
    <w:name w:val="caption"/>
    <w:basedOn w:val="Normal"/>
    <w:next w:val="Normal"/>
    <w:unhideWhenUsed/>
    <w:qFormat/>
    <w:rsid w:val="005D7AC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07389-E6C7-46BD-9559-717D9629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Hewlett-Packard Company</Company>
  <LinksUpToDate>false</LinksUpToDate>
  <CharactersWithSpaces>9725</CharactersWithSpaces>
  <SharedDoc>false</SharedDoc>
  <HLinks>
    <vt:vector size="24" baseType="variant"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_Toc377676596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_Toc377676595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_Toc377676594</vt:lpwstr>
      </vt:variant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6</cp:revision>
  <cp:lastPrinted>2013-11-25T18:18:00Z</cp:lastPrinted>
  <dcterms:created xsi:type="dcterms:W3CDTF">2020-08-19T05:54:00Z</dcterms:created>
  <dcterms:modified xsi:type="dcterms:W3CDTF">2020-09-28T17:17:00Z</dcterms:modified>
</cp:coreProperties>
</file>