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7B744" w14:textId="7090A32B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  <w:r w:rsidRPr="00E92066">
        <w:rPr>
          <w:rFonts w:ascii="Calibri" w:hAnsi="Calibri" w:cs="Arial"/>
          <w:b/>
          <w:lang w:val="es-MX"/>
        </w:rPr>
        <w:t xml:space="preserve">Protocolo </w:t>
      </w:r>
      <w:r w:rsidR="006150CF">
        <w:rPr>
          <w:rFonts w:ascii="Calibri" w:hAnsi="Calibri" w:cs="Arial"/>
          <w:b/>
          <w:lang w:val="es-MX"/>
        </w:rPr>
        <w:t>${codigo}</w:t>
      </w:r>
      <w:r w:rsidRPr="00E92066">
        <w:rPr>
          <w:rFonts w:ascii="Calibri" w:hAnsi="Calibri" w:cs="Arial"/>
          <w:b/>
          <w:lang w:val="es-MX"/>
        </w:rPr>
        <w:tab/>
        <w:t xml:space="preserve">                                            </w:t>
      </w:r>
    </w:p>
    <w:p w14:paraId="400E77FB" w14:textId="75B0430A" w:rsidR="000E4F4B" w:rsidRPr="00E92066" w:rsidRDefault="000E4F4B" w:rsidP="000E4F4B">
      <w:pPr>
        <w:pStyle w:val="Encabezado"/>
        <w:rPr>
          <w:rFonts w:ascii="Calibri" w:hAnsi="Calibri"/>
          <w:lang w:val="es-MX"/>
        </w:rPr>
      </w:pPr>
      <w:r w:rsidRPr="00E92066">
        <w:rPr>
          <w:rFonts w:ascii="Calibri" w:hAnsi="Calibri" w:cs="Arial"/>
          <w:b/>
          <w:lang w:val="es-MX"/>
        </w:rPr>
        <w:t xml:space="preserve">Patología </w:t>
      </w:r>
      <w:r w:rsidR="006150CF">
        <w:rPr>
          <w:rFonts w:ascii="Calibri" w:hAnsi="Calibri" w:cs="Arial"/>
          <w:b/>
          <w:lang w:val="es-MX"/>
        </w:rPr>
        <w:t>${patologia}</w:t>
      </w:r>
      <w:r w:rsidRPr="00E92066">
        <w:rPr>
          <w:rFonts w:ascii="Calibri" w:hAnsi="Calibri" w:cs="Arial"/>
          <w:b/>
          <w:lang w:val="es-MX"/>
        </w:rPr>
        <w:tab/>
        <w:t xml:space="preserve">                                           </w:t>
      </w:r>
    </w:p>
    <w:p w14:paraId="061DAE94" w14:textId="77777777" w:rsidR="000E4F4B" w:rsidRPr="00E92066" w:rsidRDefault="000E4F4B" w:rsidP="000E4F4B">
      <w:pPr>
        <w:spacing w:before="120" w:after="120"/>
        <w:jc w:val="center"/>
        <w:rPr>
          <w:rFonts w:ascii="Calibri" w:hAnsi="Calibri" w:cs="Arial"/>
          <w:b/>
          <w:sz w:val="32"/>
          <w:szCs w:val="32"/>
        </w:rPr>
      </w:pPr>
      <w:r w:rsidRPr="00E92066">
        <w:rPr>
          <w:rFonts w:ascii="Calibri" w:hAnsi="Calibri" w:cs="Arial"/>
          <w:b/>
          <w:sz w:val="32"/>
          <w:szCs w:val="32"/>
        </w:rPr>
        <w:t>Criterios de Inclusión</w:t>
      </w:r>
    </w:p>
    <w:p w14:paraId="3BBF27CD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&gt;18 con SMD o LMA (proporción de blastos en la médula ósea ≤50%) con trombocitopenia causada por la enfermedad o tratamiento previo (Excluye trombocitopenia transitoria).</w:t>
      </w:r>
    </w:p>
    <w:p w14:paraId="2F66BA9E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Trombocitopenia grado 4 plaquetas &lt;25 Gi/L. Al menos 1 evento de los siguientes eventos durante las 4 semanas de selección: transfusión plaquetaria, o sangrado sintomático o recuento plaquetario &lt;10Gi/L (fiebre, infección, enfermedad autoinmune).</w:t>
      </w:r>
    </w:p>
    <w:p w14:paraId="1311FC65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Debe tener información de recuentos plaquetarios, sangrado y eventos de transfusión dentro de un periodo de al menos 4 semanas previas a la asignación a Tx.</w:t>
      </w:r>
    </w:p>
    <w:p w14:paraId="340C5CA0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Descontinuar cualquier Tx sistémico previo para malignidad (excepto de hidroxiurea):</w:t>
      </w:r>
    </w:p>
    <w:p w14:paraId="594A26DD" w14:textId="77777777" w:rsidR="000E4F4B" w:rsidRPr="00E92066" w:rsidRDefault="000E4F4B" w:rsidP="000E4F4B">
      <w:pPr>
        <w:pStyle w:val="Sinespaciado"/>
        <w:numPr>
          <w:ilvl w:val="0"/>
          <w:numId w:val="6"/>
        </w:numPr>
        <w:rPr>
          <w:rFonts w:cs="Arial"/>
          <w:lang w:val="es-MX"/>
        </w:rPr>
      </w:pPr>
      <w:r w:rsidRPr="00E92066">
        <w:rPr>
          <w:rFonts w:cs="Arial"/>
          <w:lang w:val="es-MX"/>
        </w:rPr>
        <w:t>Mínimo 4 semanas antes del dia 1: quimioterapia, agentes de-metilantes, lenalidomida, talidomida, clofarabina e IL-11.</w:t>
      </w:r>
    </w:p>
    <w:p w14:paraId="0CC1C3BB" w14:textId="77777777" w:rsidR="000E4F4B" w:rsidRPr="00E92066" w:rsidRDefault="000E4F4B" w:rsidP="000E4F4B">
      <w:pPr>
        <w:pStyle w:val="Sinespaciado"/>
        <w:numPr>
          <w:ilvl w:val="0"/>
          <w:numId w:val="6"/>
        </w:numPr>
        <w:rPr>
          <w:rFonts w:cs="Arial"/>
          <w:lang w:val="es-MX"/>
        </w:rPr>
      </w:pPr>
      <w:r w:rsidRPr="00E92066">
        <w:rPr>
          <w:rFonts w:cs="Arial"/>
          <w:lang w:val="es-MX"/>
        </w:rPr>
        <w:t>Mínimo 8 semanas antes del día 1: globulina anti-timocito/anti-linfocito.</w:t>
      </w:r>
    </w:p>
    <w:p w14:paraId="007E8F71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SCT previo con recurrencia posterior.</w:t>
      </w:r>
    </w:p>
    <w:p w14:paraId="12517F80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Enfermedad estable, capaces de completar un período de 12 semanas de Tx.</w:t>
      </w:r>
    </w:p>
    <w:p w14:paraId="5B9513BD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Estatus ECOG 0-2.</w:t>
      </w:r>
    </w:p>
    <w:p w14:paraId="01230E85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Función adecuada de órganos: </w:t>
      </w:r>
    </w:p>
    <w:p w14:paraId="38F0BFCF" w14:textId="77777777" w:rsidR="000E4F4B" w:rsidRPr="00E92066" w:rsidRDefault="000E4F4B" w:rsidP="000E4F4B">
      <w:pPr>
        <w:pStyle w:val="Sinespaciado"/>
        <w:numPr>
          <w:ilvl w:val="0"/>
          <w:numId w:val="7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Bilirrubina total ≤1.5xULN </w:t>
      </w:r>
    </w:p>
    <w:p w14:paraId="06FB4A96" w14:textId="77777777" w:rsidR="000E4F4B" w:rsidRPr="00E92066" w:rsidRDefault="000E4F4B" w:rsidP="000E4F4B">
      <w:pPr>
        <w:pStyle w:val="Sinespaciado"/>
        <w:numPr>
          <w:ilvl w:val="0"/>
          <w:numId w:val="7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ALT ≤3xULN </w:t>
      </w:r>
    </w:p>
    <w:p w14:paraId="71690806" w14:textId="77777777" w:rsidR="000E4F4B" w:rsidRPr="00E92066" w:rsidRDefault="000E4F4B" w:rsidP="000E4F4B">
      <w:pPr>
        <w:pStyle w:val="Sinespaciado"/>
        <w:numPr>
          <w:ilvl w:val="0"/>
          <w:numId w:val="7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Creatinina ≤2.5 xULN</w:t>
      </w:r>
    </w:p>
    <w:p w14:paraId="6565BC79" w14:textId="77777777" w:rsidR="000E4F4B" w:rsidRPr="00E92066" w:rsidRDefault="000E4F4B" w:rsidP="000E4F4B">
      <w:pPr>
        <w:pStyle w:val="Sinespaciado"/>
        <w:numPr>
          <w:ilvl w:val="0"/>
          <w:numId w:val="5"/>
        </w:numPr>
        <w:ind w:left="0" w:hanging="284"/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Mujeres estériles o mujeres/hombres con métodos anticonceptivos.</w:t>
      </w:r>
    </w:p>
    <w:p w14:paraId="0AFC5630" w14:textId="77777777" w:rsidR="000E4F4B" w:rsidRPr="00E92066" w:rsidRDefault="000E4F4B" w:rsidP="000E4F4B">
      <w:pPr>
        <w:pStyle w:val="Sinespaciado"/>
        <w:jc w:val="both"/>
        <w:rPr>
          <w:rFonts w:cs="Arial"/>
          <w:sz w:val="24"/>
          <w:szCs w:val="24"/>
          <w:lang w:val="es-MX"/>
        </w:rPr>
      </w:pPr>
    </w:p>
    <w:p w14:paraId="0D8315F4" w14:textId="77777777" w:rsidR="000E4F4B" w:rsidRPr="00E92066" w:rsidRDefault="003E74BC" w:rsidP="000E4F4B">
      <w:pPr>
        <w:pStyle w:val="Piedepgina"/>
        <w:rPr>
          <w:rFonts w:ascii="Calibri" w:hAnsi="Calibri" w:cs="Arial"/>
          <w:lang w:val="es-MX"/>
        </w:rPr>
      </w:pPr>
      <w:r>
        <w:rPr>
          <w:rFonts w:ascii="Calibri" w:hAnsi="Calibri"/>
          <w:noProof/>
          <w:lang w:val="es-ES"/>
        </w:rPr>
        <w:drawing>
          <wp:anchor distT="0" distB="0" distL="114300" distR="114300" simplePos="0" relativeHeight="251657216" behindDoc="1" locked="0" layoutInCell="1" allowOverlap="1" wp14:anchorId="349BB430" wp14:editId="545C750C">
            <wp:simplePos x="0" y="0"/>
            <wp:positionH relativeFrom="column">
              <wp:posOffset>276225</wp:posOffset>
            </wp:positionH>
            <wp:positionV relativeFrom="paragraph">
              <wp:posOffset>-5080</wp:posOffset>
            </wp:positionV>
            <wp:extent cx="1777365" cy="403860"/>
            <wp:effectExtent l="0" t="0" r="0" b="0"/>
            <wp:wrapThrough wrapText="bothSides">
              <wp:wrapPolygon edited="0">
                <wp:start x="0" y="0"/>
                <wp:lineTo x="0" y="20377"/>
                <wp:lineTo x="21299" y="20377"/>
                <wp:lineTo x="21299" y="0"/>
                <wp:lineTo x="0" y="0"/>
              </wp:wrapPolygon>
            </wp:wrapThrough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DF30D" w14:textId="77777777" w:rsidR="000E4F4B" w:rsidRPr="00E92066" w:rsidRDefault="000E4F4B" w:rsidP="000E4F4B">
      <w:pPr>
        <w:pStyle w:val="Sinespaciado"/>
        <w:jc w:val="both"/>
        <w:rPr>
          <w:rFonts w:cs="Arial"/>
          <w:sz w:val="24"/>
          <w:szCs w:val="24"/>
          <w:lang w:val="es-MX"/>
        </w:rPr>
      </w:pPr>
      <w:r w:rsidRPr="00E92066">
        <w:rPr>
          <w:rFonts w:cs="Arial"/>
          <w:sz w:val="24"/>
          <w:szCs w:val="24"/>
          <w:lang w:val="es-MX"/>
        </w:rPr>
        <w:t xml:space="preserve">                       </w:t>
      </w:r>
    </w:p>
    <w:p w14:paraId="5B922984" w14:textId="77777777" w:rsidR="000E4F4B" w:rsidRPr="00E92066" w:rsidRDefault="000E4F4B" w:rsidP="000E4F4B">
      <w:pPr>
        <w:jc w:val="center"/>
        <w:rPr>
          <w:rFonts w:ascii="Calibri" w:hAnsi="Calibri" w:cs="Arial"/>
          <w:b/>
          <w:sz w:val="28"/>
          <w:szCs w:val="28"/>
        </w:rPr>
      </w:pPr>
    </w:p>
    <w:p w14:paraId="114F8718" w14:textId="27C83166" w:rsidR="006B688E" w:rsidRDefault="006B688E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Teléfono </w:t>
      </w:r>
      <w:r w:rsidR="006150CF">
        <w:rPr>
          <w:rFonts w:ascii="Calibri" w:hAnsi="Calibri" w:cs="Arial"/>
          <w:b/>
          <w:sz w:val="28"/>
          <w:szCs w:val="28"/>
        </w:rPr>
        <w:t>${telefono}</w:t>
      </w:r>
    </w:p>
    <w:p w14:paraId="32FE6AE7" w14:textId="6741F521" w:rsidR="000E4F4B" w:rsidRPr="00E92066" w:rsidRDefault="000E4F4B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 w:rsidRPr="00E92066">
        <w:rPr>
          <w:rFonts w:ascii="Calibri" w:hAnsi="Calibri" w:cs="Arial"/>
          <w:b/>
          <w:sz w:val="28"/>
          <w:szCs w:val="28"/>
        </w:rPr>
        <w:t xml:space="preserve">Móvil </w:t>
      </w:r>
      <w:r w:rsidR="006150CF">
        <w:rPr>
          <w:rFonts w:ascii="Calibri" w:hAnsi="Calibri" w:cs="Arial"/>
          <w:b/>
          <w:sz w:val="28"/>
          <w:szCs w:val="28"/>
        </w:rPr>
        <w:t>${movil}</w:t>
      </w:r>
    </w:p>
    <w:p w14:paraId="6557E8D2" w14:textId="77777777" w:rsidR="000E4F4B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788BB65F" w14:textId="77777777" w:rsidR="009C7388" w:rsidRDefault="009C7388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22E064E8" w14:textId="77777777" w:rsidR="009C7388" w:rsidRPr="00E92066" w:rsidRDefault="009C7388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158BDEA4" w14:textId="7777777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31E9028F" w14:textId="7777777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</w:p>
    <w:p w14:paraId="5313FEA4" w14:textId="15ADD837" w:rsidR="000E4F4B" w:rsidRPr="00E92066" w:rsidRDefault="000E4F4B" w:rsidP="000E4F4B">
      <w:pPr>
        <w:pStyle w:val="Encabezado"/>
        <w:jc w:val="both"/>
        <w:rPr>
          <w:rFonts w:ascii="Calibri" w:hAnsi="Calibri" w:cs="Arial"/>
          <w:b/>
          <w:lang w:val="es-MX"/>
        </w:rPr>
      </w:pPr>
      <w:r w:rsidRPr="00E92066">
        <w:rPr>
          <w:rFonts w:ascii="Calibri" w:hAnsi="Calibri" w:cs="Arial"/>
          <w:b/>
          <w:lang w:val="es-MX"/>
        </w:rPr>
        <w:lastRenderedPageBreak/>
        <w:t xml:space="preserve">Protocolo </w:t>
      </w:r>
      <w:r w:rsidR="006150CF">
        <w:rPr>
          <w:rFonts w:ascii="Calibri" w:hAnsi="Calibri" w:cs="Arial"/>
          <w:b/>
          <w:lang w:val="es-MX"/>
        </w:rPr>
        <w:t>${codigo}</w:t>
      </w:r>
      <w:r w:rsidRPr="00E92066">
        <w:rPr>
          <w:rFonts w:ascii="Calibri" w:hAnsi="Calibri" w:cs="Arial"/>
          <w:b/>
          <w:lang w:val="es-MX"/>
        </w:rPr>
        <w:tab/>
      </w:r>
    </w:p>
    <w:p w14:paraId="411CB97D" w14:textId="461D438E" w:rsidR="000E4F4B" w:rsidRPr="00E92066" w:rsidRDefault="000E4F4B" w:rsidP="000E4F4B">
      <w:pPr>
        <w:pStyle w:val="Encabezado"/>
        <w:rPr>
          <w:rFonts w:ascii="Calibri" w:hAnsi="Calibri"/>
          <w:lang w:val="es-MX"/>
        </w:rPr>
      </w:pPr>
      <w:r w:rsidRPr="00E92066">
        <w:rPr>
          <w:rFonts w:ascii="Calibri" w:hAnsi="Calibri" w:cs="Arial"/>
          <w:b/>
          <w:lang w:val="es-MX"/>
        </w:rPr>
        <w:t xml:space="preserve">Patología </w:t>
      </w:r>
      <w:r w:rsidR="006150CF">
        <w:rPr>
          <w:rFonts w:ascii="Calibri" w:hAnsi="Calibri" w:cs="Arial"/>
          <w:b/>
          <w:lang w:val="es-MX"/>
        </w:rPr>
        <w:t>${patologia}</w:t>
      </w:r>
      <w:r w:rsidRPr="00E92066">
        <w:rPr>
          <w:rFonts w:ascii="Calibri" w:hAnsi="Calibri" w:cs="Arial"/>
          <w:b/>
          <w:lang w:val="es-MX"/>
        </w:rPr>
        <w:tab/>
        <w:t xml:space="preserve">                              </w:t>
      </w:r>
    </w:p>
    <w:p w14:paraId="0604B712" w14:textId="77777777" w:rsidR="000E4F4B" w:rsidRPr="00E92066" w:rsidRDefault="000E4F4B" w:rsidP="000E4F4B">
      <w:pPr>
        <w:tabs>
          <w:tab w:val="left" w:pos="3686"/>
        </w:tabs>
        <w:spacing w:before="120" w:after="120"/>
        <w:jc w:val="center"/>
        <w:rPr>
          <w:rFonts w:ascii="Calibri" w:hAnsi="Calibri" w:cs="Arial"/>
          <w:b/>
          <w:sz w:val="32"/>
          <w:szCs w:val="32"/>
        </w:rPr>
      </w:pPr>
      <w:r w:rsidRPr="00E92066">
        <w:rPr>
          <w:rFonts w:ascii="Calibri" w:hAnsi="Calibri" w:cs="Arial"/>
          <w:b/>
          <w:sz w:val="32"/>
          <w:szCs w:val="32"/>
        </w:rPr>
        <w:t>Criterios de Exclusión</w:t>
      </w:r>
    </w:p>
    <w:p w14:paraId="7DEFEC0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Sujetos con SMD y riesgo bajo o intermedio (IPSS).</w:t>
      </w:r>
    </w:p>
    <w:p w14:paraId="783EB51C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Dx de leucemia promielocítica aguda o leucemia megacarioblástica o LMA secundaria a neoplasia mieloproliferativa.</w:t>
      </w:r>
    </w:p>
    <w:p w14:paraId="18B6FB05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Historia de Tx con romiplostim u otros agonistas TPO-R.</w:t>
      </w:r>
    </w:p>
    <w:p w14:paraId="3EC8AE6E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QTc&gt;480 mseg ó QTc&gt;510 con Bloqueo de Rama de Haz de His.</w:t>
      </w:r>
    </w:p>
    <w:p w14:paraId="33D893F8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Sujetos con bazo palpable con diámetro ≤16 cm.</w:t>
      </w:r>
    </w:p>
    <w:p w14:paraId="16B15B0D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Leucositosis ≥25,000/uL en el día 1 de Tx.</w:t>
      </w:r>
    </w:p>
    <w:p w14:paraId="2CFEBFEA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Riesgo trombótico.</w:t>
      </w:r>
    </w:p>
    <w:p w14:paraId="441544B5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 xml:space="preserve">Embarazo o lactancia. </w:t>
      </w:r>
    </w:p>
    <w:p w14:paraId="7EF99F4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Abuso de drogas o alcohol.</w:t>
      </w:r>
    </w:p>
    <w:p w14:paraId="49606A9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Tx con fármacos en investigación dentro de 30 días o 5 vidas medias precedentes.</w:t>
      </w:r>
    </w:p>
    <w:p w14:paraId="12E6102E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Infecciones activas y no controladas.</w:t>
      </w:r>
    </w:p>
    <w:p w14:paraId="1F0768B7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Hepatitis B y C o VIH.</w:t>
      </w:r>
    </w:p>
    <w:p w14:paraId="7A48EA33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Cirrosis hepática</w:t>
      </w:r>
    </w:p>
    <w:p w14:paraId="5A4DAFCB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Ingesta de medicamentos prohibidos por el protocolo.</w:t>
      </w:r>
    </w:p>
    <w:p w14:paraId="715DF5F4" w14:textId="77777777" w:rsidR="000E4F4B" w:rsidRPr="00E92066" w:rsidRDefault="000E4F4B" w:rsidP="000E4F4B">
      <w:pPr>
        <w:pStyle w:val="Sinespaciado"/>
        <w:numPr>
          <w:ilvl w:val="0"/>
          <w:numId w:val="9"/>
        </w:numPr>
        <w:jc w:val="both"/>
        <w:rPr>
          <w:rFonts w:cs="Arial"/>
          <w:lang w:val="es-MX"/>
        </w:rPr>
      </w:pPr>
      <w:r w:rsidRPr="00E92066">
        <w:rPr>
          <w:rFonts w:cs="Arial"/>
          <w:lang w:val="es-MX"/>
        </w:rPr>
        <w:t>Hipersensibilidad al eltrombopag o al excipiente.</w:t>
      </w:r>
    </w:p>
    <w:p w14:paraId="3CB19178" w14:textId="77777777" w:rsidR="000E4F4B" w:rsidRPr="00E92066" w:rsidRDefault="000E4F4B" w:rsidP="000E4F4B">
      <w:pPr>
        <w:pStyle w:val="Sinespaciado"/>
        <w:tabs>
          <w:tab w:val="left" w:pos="3686"/>
        </w:tabs>
        <w:rPr>
          <w:rFonts w:cs="Arial"/>
          <w:lang w:val="es-MX"/>
        </w:rPr>
      </w:pPr>
    </w:p>
    <w:p w14:paraId="03267DF1" w14:textId="77777777" w:rsidR="000E4F4B" w:rsidRPr="00E92066" w:rsidRDefault="003E74BC" w:rsidP="000E4F4B">
      <w:pPr>
        <w:pStyle w:val="Piedepgina"/>
        <w:tabs>
          <w:tab w:val="clear" w:pos="4419"/>
          <w:tab w:val="center" w:pos="3686"/>
        </w:tabs>
        <w:ind w:left="709"/>
        <w:jc w:val="center"/>
        <w:rPr>
          <w:rFonts w:ascii="Calibri" w:hAnsi="Calibri" w:cs="Arial"/>
          <w:lang w:val="es-MX"/>
        </w:rPr>
      </w:pPr>
      <w:r>
        <w:rPr>
          <w:rFonts w:ascii="Calibri" w:hAnsi="Calibri"/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7A031E81" wp14:editId="64B63033">
            <wp:simplePos x="0" y="0"/>
            <wp:positionH relativeFrom="column">
              <wp:posOffset>294005</wp:posOffset>
            </wp:positionH>
            <wp:positionV relativeFrom="paragraph">
              <wp:posOffset>68580</wp:posOffset>
            </wp:positionV>
            <wp:extent cx="1777365" cy="403860"/>
            <wp:effectExtent l="0" t="0" r="0" b="0"/>
            <wp:wrapThrough wrapText="bothSides">
              <wp:wrapPolygon edited="0">
                <wp:start x="0" y="0"/>
                <wp:lineTo x="0" y="20377"/>
                <wp:lineTo x="21299" y="20377"/>
                <wp:lineTo x="21299" y="0"/>
                <wp:lineTo x="0" y="0"/>
              </wp:wrapPolygon>
            </wp:wrapThrough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A35C1" w14:textId="77777777" w:rsidR="000E4F4B" w:rsidRPr="00E92066" w:rsidRDefault="000E4F4B" w:rsidP="000E4F4B">
      <w:pPr>
        <w:pStyle w:val="Piedepgina"/>
        <w:tabs>
          <w:tab w:val="clear" w:pos="4419"/>
          <w:tab w:val="center" w:pos="3686"/>
        </w:tabs>
        <w:ind w:left="709"/>
        <w:jc w:val="both"/>
        <w:rPr>
          <w:rFonts w:ascii="Calibri" w:hAnsi="Calibri" w:cs="Arial"/>
          <w:lang w:val="es-MX"/>
        </w:rPr>
      </w:pPr>
    </w:p>
    <w:p w14:paraId="60AD1796" w14:textId="77777777" w:rsidR="006B688E" w:rsidRDefault="006B688E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6B6ECA9A" w14:textId="77777777" w:rsidR="00C03424" w:rsidRDefault="00C03424" w:rsidP="000E4F4B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145F727B" w14:textId="7E3E1B3E" w:rsidR="00C03424" w:rsidRDefault="003D3A12" w:rsidP="00C03424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Teléfono </w:t>
      </w:r>
      <w:r w:rsidR="006150CF">
        <w:rPr>
          <w:rFonts w:ascii="Calibri" w:hAnsi="Calibri" w:cs="Arial"/>
          <w:b/>
          <w:sz w:val="28"/>
          <w:szCs w:val="28"/>
        </w:rPr>
        <w:t>${telefono}</w:t>
      </w:r>
    </w:p>
    <w:p w14:paraId="2CB787F7" w14:textId="0FD31213" w:rsidR="000E4F4B" w:rsidRPr="00C03424" w:rsidRDefault="003D3A12" w:rsidP="00C03424">
      <w:pPr>
        <w:tabs>
          <w:tab w:val="left" w:pos="3686"/>
        </w:tabs>
        <w:jc w:val="center"/>
        <w:rPr>
          <w:rFonts w:ascii="Calibri" w:hAnsi="Calibri" w:cs="Arial"/>
          <w:b/>
          <w:sz w:val="28"/>
          <w:szCs w:val="28"/>
        </w:rPr>
      </w:pPr>
      <w:r w:rsidRPr="00E92066">
        <w:rPr>
          <w:rFonts w:ascii="Calibri" w:hAnsi="Calibri" w:cs="Arial"/>
          <w:b/>
          <w:sz w:val="28"/>
          <w:szCs w:val="28"/>
        </w:rPr>
        <w:t xml:space="preserve">Móvil </w:t>
      </w:r>
      <w:r w:rsidR="006150CF">
        <w:rPr>
          <w:rFonts w:ascii="Calibri" w:hAnsi="Calibri" w:cs="Arial"/>
          <w:b/>
          <w:sz w:val="28"/>
          <w:szCs w:val="28"/>
        </w:rPr>
        <w:t>${movil</w:t>
      </w:r>
      <w:bookmarkStart w:id="0" w:name="_GoBack"/>
      <w:bookmarkEnd w:id="0"/>
      <w:r w:rsidR="006150CF">
        <w:rPr>
          <w:rFonts w:ascii="Calibri" w:hAnsi="Calibri" w:cs="Arial"/>
          <w:b/>
          <w:sz w:val="28"/>
          <w:szCs w:val="28"/>
        </w:rPr>
        <w:t>}</w:t>
      </w:r>
    </w:p>
    <w:p w14:paraId="17E7D9D0" w14:textId="77777777" w:rsidR="00EC1216" w:rsidRPr="000E4F4B" w:rsidRDefault="00EC1216" w:rsidP="000E4F4B"/>
    <w:sectPr w:rsidR="00EC1216" w:rsidRPr="000E4F4B" w:rsidSect="000E4F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701" w:bottom="1418" w:left="1701" w:header="709" w:footer="709" w:gutter="0"/>
      <w:cols w:num="2"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E6E" w16cex:dateUtc="2018-04-21T0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20E3E4" w16cid:durableId="25997E6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FB53F" w14:textId="77777777" w:rsidR="00880BE9" w:rsidRDefault="00880BE9">
      <w:r>
        <w:separator/>
      </w:r>
    </w:p>
  </w:endnote>
  <w:endnote w:type="continuationSeparator" w:id="0">
    <w:p w14:paraId="50E3A196" w14:textId="77777777" w:rsidR="00880BE9" w:rsidRDefault="00880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4506A" w14:textId="77777777" w:rsidR="00096223" w:rsidRDefault="000962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D4BCC" w14:textId="3560CD17" w:rsidR="00440A61" w:rsidRPr="00527865" w:rsidRDefault="000E4F4B" w:rsidP="00527865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0633E3">
      <w:rPr>
        <w:rFonts w:ascii="Calibri" w:hAnsi="Calibri"/>
        <w:sz w:val="20"/>
        <w:szCs w:val="20"/>
        <w:lang w:val="es-MX"/>
      </w:rPr>
      <w:t>4</w:t>
    </w:r>
    <w:r w:rsidR="006A3198">
      <w:rPr>
        <w:rFonts w:ascii="Calibri" w:hAnsi="Calibri"/>
        <w:sz w:val="20"/>
        <w:szCs w:val="20"/>
        <w:lang w:val="es-MX"/>
      </w:rPr>
      <w:t>4</w:t>
    </w:r>
    <w:r w:rsidR="000633E3">
      <w:rPr>
        <w:rFonts w:ascii="Calibri" w:hAnsi="Calibri"/>
        <w:sz w:val="20"/>
        <w:szCs w:val="20"/>
        <w:lang w:val="es-MX"/>
      </w:rPr>
      <w:t>01</w:t>
    </w:r>
    <w:r>
      <w:rPr>
        <w:rFonts w:ascii="Calibri" w:hAnsi="Calibri"/>
        <w:sz w:val="20"/>
        <w:szCs w:val="20"/>
        <w:lang w:val="es-MX"/>
      </w:rPr>
      <w:t xml:space="preserve"> Tarjeta de bolsillo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096223">
      <w:rPr>
        <w:rFonts w:ascii="Calibri" w:hAnsi="Calibri"/>
        <w:sz w:val="20"/>
        <w:szCs w:val="20"/>
        <w:lang w:val="es-MX"/>
      </w:rPr>
      <w:t>v</w:t>
    </w:r>
    <w:r w:rsidR="00D00E84">
      <w:rPr>
        <w:rStyle w:val="Nmerodepgina"/>
        <w:rFonts w:ascii="Calibri" w:hAnsi="Calibri"/>
        <w:sz w:val="20"/>
        <w:szCs w:val="20"/>
      </w:rPr>
      <w:t>0</w:t>
    </w:r>
    <w:r w:rsidR="00D00E84">
      <w:rPr>
        <w:rStyle w:val="Nmerodepgina"/>
        <w:rFonts w:ascii="Calibri" w:hAnsi="Calibri"/>
        <w:sz w:val="20"/>
      </w:rPr>
      <w:t>1-</w:t>
    </w:r>
    <w:r w:rsidR="00096223">
      <w:rPr>
        <w:rStyle w:val="Nmerodepgina"/>
        <w:rFonts w:ascii="Calibri" w:hAnsi="Calibri"/>
        <w:sz w:val="20"/>
        <w:lang w:val="es-MX"/>
      </w:rPr>
      <w:t>feb</w:t>
    </w:r>
    <w:r w:rsidR="00D00E84">
      <w:rPr>
        <w:rStyle w:val="Nmerodepgina"/>
        <w:rFonts w:ascii="Calibri" w:hAnsi="Calibri"/>
        <w:sz w:val="20"/>
      </w:rPr>
      <w:t>-202</w:t>
    </w:r>
    <w:r w:rsidR="00096223">
      <w:rPr>
        <w:rStyle w:val="Nmerodepgina"/>
        <w:rFonts w:ascii="Calibri" w:hAnsi="Calibri"/>
        <w:sz w:val="20"/>
        <w:lang w:val="es-MX"/>
      </w:rPr>
      <w:t>2</w:t>
    </w:r>
    <w:r w:rsidR="00D51B4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B743D9">
      <w:rPr>
        <w:rStyle w:val="Nmerodepgina"/>
        <w:rFonts w:ascii="Calibri" w:hAnsi="Calibri"/>
        <w:sz w:val="20"/>
        <w:szCs w:val="20"/>
        <w:lang w:val="es-MX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6150CF">
      <w:rPr>
        <w:rStyle w:val="Nmerodepgina"/>
        <w:rFonts w:ascii="Calibri" w:hAnsi="Calibri"/>
        <w:noProof/>
        <w:sz w:val="20"/>
        <w:szCs w:val="20"/>
        <w:lang w:val="es-MX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B743D9">
      <w:rPr>
        <w:rStyle w:val="Nmerodepgina"/>
        <w:rFonts w:ascii="Calibri" w:hAnsi="Calibri"/>
        <w:sz w:val="20"/>
        <w:szCs w:val="20"/>
        <w:lang w:val="es-MX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B743D9">
      <w:rPr>
        <w:rStyle w:val="Nmerodepgina"/>
        <w:rFonts w:ascii="Calibri" w:hAnsi="Calibri"/>
        <w:sz w:val="20"/>
        <w:szCs w:val="20"/>
        <w:lang w:val="es-MX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6150CF">
      <w:rPr>
        <w:rStyle w:val="Nmerodepgina"/>
        <w:rFonts w:ascii="Calibri" w:hAnsi="Calibri"/>
        <w:noProof/>
        <w:sz w:val="20"/>
        <w:szCs w:val="20"/>
        <w:lang w:val="es-MX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E2058" w14:textId="77777777" w:rsidR="00096223" w:rsidRDefault="000962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7CA9F" w14:textId="77777777" w:rsidR="00880BE9" w:rsidRDefault="00880BE9">
      <w:r>
        <w:separator/>
      </w:r>
    </w:p>
  </w:footnote>
  <w:footnote w:type="continuationSeparator" w:id="0">
    <w:p w14:paraId="6DEBDA1C" w14:textId="77777777" w:rsidR="00880BE9" w:rsidRDefault="00880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91E81" w14:textId="77777777" w:rsidR="00096223" w:rsidRDefault="000962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3C375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0832D" w14:textId="77777777" w:rsidR="00096223" w:rsidRDefault="000962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2A1A"/>
    <w:multiLevelType w:val="hybridMultilevel"/>
    <w:tmpl w:val="E49CEDD2"/>
    <w:lvl w:ilvl="0" w:tplc="9224F96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D76608"/>
    <w:multiLevelType w:val="hybridMultilevel"/>
    <w:tmpl w:val="FE245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24E43"/>
    <w:multiLevelType w:val="hybridMultilevel"/>
    <w:tmpl w:val="587E4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56C83"/>
    <w:multiLevelType w:val="hybridMultilevel"/>
    <w:tmpl w:val="792048A8"/>
    <w:lvl w:ilvl="0" w:tplc="CF9C4B00">
      <w:start w:val="1"/>
      <w:numFmt w:val="decimal"/>
      <w:lvlText w:val="%1."/>
      <w:lvlJc w:val="left"/>
      <w:pPr>
        <w:ind w:left="1155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25" w:hanging="360"/>
      </w:pPr>
    </w:lvl>
    <w:lvl w:ilvl="2" w:tplc="080A001B" w:tentative="1">
      <w:start w:val="1"/>
      <w:numFmt w:val="lowerRoman"/>
      <w:lvlText w:val="%3."/>
      <w:lvlJc w:val="right"/>
      <w:pPr>
        <w:ind w:left="2245" w:hanging="180"/>
      </w:pPr>
    </w:lvl>
    <w:lvl w:ilvl="3" w:tplc="080A000F" w:tentative="1">
      <w:start w:val="1"/>
      <w:numFmt w:val="decimal"/>
      <w:lvlText w:val="%4."/>
      <w:lvlJc w:val="left"/>
      <w:pPr>
        <w:ind w:left="2965" w:hanging="360"/>
      </w:pPr>
    </w:lvl>
    <w:lvl w:ilvl="4" w:tplc="080A0019" w:tentative="1">
      <w:start w:val="1"/>
      <w:numFmt w:val="lowerLetter"/>
      <w:lvlText w:val="%5."/>
      <w:lvlJc w:val="left"/>
      <w:pPr>
        <w:ind w:left="3685" w:hanging="360"/>
      </w:pPr>
    </w:lvl>
    <w:lvl w:ilvl="5" w:tplc="080A001B" w:tentative="1">
      <w:start w:val="1"/>
      <w:numFmt w:val="lowerRoman"/>
      <w:lvlText w:val="%6."/>
      <w:lvlJc w:val="right"/>
      <w:pPr>
        <w:ind w:left="4405" w:hanging="180"/>
      </w:pPr>
    </w:lvl>
    <w:lvl w:ilvl="6" w:tplc="080A000F" w:tentative="1">
      <w:start w:val="1"/>
      <w:numFmt w:val="decimal"/>
      <w:lvlText w:val="%7."/>
      <w:lvlJc w:val="left"/>
      <w:pPr>
        <w:ind w:left="5125" w:hanging="360"/>
      </w:pPr>
    </w:lvl>
    <w:lvl w:ilvl="7" w:tplc="080A0019" w:tentative="1">
      <w:start w:val="1"/>
      <w:numFmt w:val="lowerLetter"/>
      <w:lvlText w:val="%8."/>
      <w:lvlJc w:val="left"/>
      <w:pPr>
        <w:ind w:left="5845" w:hanging="360"/>
      </w:pPr>
    </w:lvl>
    <w:lvl w:ilvl="8" w:tplc="080A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8" w15:restartNumberingAfterBreak="0">
    <w:nsid w:val="77AE16F4"/>
    <w:multiLevelType w:val="hybridMultilevel"/>
    <w:tmpl w:val="BCC8F1B8"/>
    <w:lvl w:ilvl="0" w:tplc="CD64F1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21D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446"/>
    <w:rsid w:val="00063211"/>
    <w:rsid w:val="000633E3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6223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6941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4F4B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9D6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5B01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257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86F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3E3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E8"/>
    <w:rsid w:val="002B6DFE"/>
    <w:rsid w:val="002B7737"/>
    <w:rsid w:val="002C055C"/>
    <w:rsid w:val="002C30AF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732C"/>
    <w:rsid w:val="00350B7B"/>
    <w:rsid w:val="0035223B"/>
    <w:rsid w:val="0036016F"/>
    <w:rsid w:val="00360492"/>
    <w:rsid w:val="00360AFE"/>
    <w:rsid w:val="003623E6"/>
    <w:rsid w:val="00362DB4"/>
    <w:rsid w:val="00364354"/>
    <w:rsid w:val="0036557A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C9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8A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A12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4BC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4DA3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4E52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CE3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865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47F26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39B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50CF"/>
    <w:rsid w:val="00617782"/>
    <w:rsid w:val="0061792C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4DEA"/>
    <w:rsid w:val="00665005"/>
    <w:rsid w:val="006675D7"/>
    <w:rsid w:val="006701CB"/>
    <w:rsid w:val="006719BC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3198"/>
    <w:rsid w:val="006A4D39"/>
    <w:rsid w:val="006A621B"/>
    <w:rsid w:val="006B1D02"/>
    <w:rsid w:val="006B3270"/>
    <w:rsid w:val="006B37A6"/>
    <w:rsid w:val="006B514C"/>
    <w:rsid w:val="006B59CA"/>
    <w:rsid w:val="006B6733"/>
    <w:rsid w:val="006B688E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5A8B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1662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5578"/>
    <w:rsid w:val="0077089D"/>
    <w:rsid w:val="00773007"/>
    <w:rsid w:val="00774596"/>
    <w:rsid w:val="007745E0"/>
    <w:rsid w:val="007749FE"/>
    <w:rsid w:val="007775CD"/>
    <w:rsid w:val="007777B5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2D44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626"/>
    <w:rsid w:val="007D2E5F"/>
    <w:rsid w:val="007E1C9E"/>
    <w:rsid w:val="007E4C1F"/>
    <w:rsid w:val="007E63E4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485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BE9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27A"/>
    <w:rsid w:val="008F18D3"/>
    <w:rsid w:val="008F2692"/>
    <w:rsid w:val="008F2B54"/>
    <w:rsid w:val="008F3742"/>
    <w:rsid w:val="008F4238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521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786A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388"/>
    <w:rsid w:val="009D02CD"/>
    <w:rsid w:val="009D0CD9"/>
    <w:rsid w:val="009D12BA"/>
    <w:rsid w:val="009D20C1"/>
    <w:rsid w:val="009D2597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1220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6F00"/>
    <w:rsid w:val="00A415D3"/>
    <w:rsid w:val="00A416DF"/>
    <w:rsid w:val="00A444D9"/>
    <w:rsid w:val="00A45621"/>
    <w:rsid w:val="00A523A2"/>
    <w:rsid w:val="00A53652"/>
    <w:rsid w:val="00A5436B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670DB"/>
    <w:rsid w:val="00A72B49"/>
    <w:rsid w:val="00A73671"/>
    <w:rsid w:val="00A74833"/>
    <w:rsid w:val="00A77202"/>
    <w:rsid w:val="00A7744B"/>
    <w:rsid w:val="00A777C2"/>
    <w:rsid w:val="00A77DCC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8F1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3424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433D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0E84"/>
    <w:rsid w:val="00D02C98"/>
    <w:rsid w:val="00D02D69"/>
    <w:rsid w:val="00D03F0B"/>
    <w:rsid w:val="00D04A51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564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1B4B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2174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066"/>
    <w:rsid w:val="00E92C3C"/>
    <w:rsid w:val="00E93D7C"/>
    <w:rsid w:val="00E96826"/>
    <w:rsid w:val="00EA0E68"/>
    <w:rsid w:val="00EA2240"/>
    <w:rsid w:val="00EA22FF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15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E6E51"/>
    <w:rsid w:val="00FF0973"/>
    <w:rsid w:val="00FF1594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F640ED"/>
  <w15:docId w15:val="{948F3610-F785-4C29-9E1A-9436956C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0E4F4B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43FF5-B419-4CDC-A206-69E93E24F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2014-08-07T19:59:00Z</cp:lastPrinted>
  <dcterms:created xsi:type="dcterms:W3CDTF">2022-01-25T02:37:00Z</dcterms:created>
  <dcterms:modified xsi:type="dcterms:W3CDTF">2022-03-24T20:41:00Z</dcterms:modified>
</cp:coreProperties>
</file>