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40" w:after="40"/>
        <w:jc w:val="center"/>
      </w:pPr>
      <w:r>
        <w:rPr>
          <w:rFonts w:ascii="Times New Roman" w:hAnsi="Times New Roman"/>
          <w:b/>
          <w:color w:val="000000"/>
          <w:sz w:val="25"/>
        </w:rPr>
        <w:t>ĐỀ TÀI:</w:t>
      </w:r>
    </w:p>
    <w:p>
      <w:pPr>
        <w:spacing w:before="0" w:after="360" w:line="300" w:lineRule="auto"/>
        <w:jc w:val="center"/>
      </w:pPr>
      <w:r>
        <w:rPr>
          <w:rFonts w:ascii="Times New Roman" w:hAnsi="Times New Roman"/>
          <w:b/>
          <w:color w:val="000000"/>
          <w:sz w:val="27"/>
        </w:rPr>
        <w:t>“HỆ THỐNG PHÁT HIỆN GIAO DỊCH TÀI CHÍNH BẤT THƯỜNG VÀ NGHI VẤN GIAN LẬN SỬ DỤNG MÔ HÌNH HỌC MÁY TRÊN DỮ LIỆU PAYSIM”</w:t>
      </w:r>
    </w:p>
    <w:tbl>
      <w:tblPr>
        <w:tblW w:type="auto" w:w="0"/>
        <w:jc w:val="center"/>
        <w:tblLayout w:type="fixed"/>
        <w:tblLook w:firstColumn="1" w:firstRow="1" w:lastColumn="0" w:lastRow="0" w:noHBand="0" w:noVBand="1" w:val="04A0"/>
      </w:tblPr>
      <w:tblGrid>
        <w:gridCol w:w="4536"/>
        <w:gridCol w:w="4536"/>
      </w:tblGrid>
      <w:tr>
        <w:tc>
          <w:tcPr>
            <w:tcW w:type="dxa" w:w="3969"/>
          </w:tcPr>
          <w:p>
            <w:pPr>
              <w:spacing w:after="60" w:line="276" w:lineRule="auto"/>
            </w:pPr>
            <w:r>
              <w:rPr>
                <w:rFonts w:ascii="Times New Roman" w:hAnsi="Times New Roman"/>
                <w:b/>
                <w:color w:val="000000"/>
                <w:sz w:val="23"/>
              </w:rPr>
              <w:t>GIẢNG VIÊN HƯỚNG DẪN:</w:t>
            </w:r>
          </w:p>
        </w:tc>
        <w:tc>
          <w:tcPr>
            <w:tcW w:type="dxa" w:w="5102"/>
          </w:tcPr>
          <w:p>
            <w:pPr>
              <w:spacing w:after="60" w:line="276" w:lineRule="auto"/>
            </w:pPr>
            <w:r>
              <w:rPr>
                <w:rFonts w:ascii="Times New Roman" w:hAnsi="Times New Roman"/>
                <w:b/>
                <w:color w:val="000000"/>
                <w:sz w:val="23"/>
              </w:rPr>
              <w:t>SINH VIÊN THỰC HIỆN:</w:t>
            </w:r>
          </w:p>
        </w:tc>
      </w:tr>
      <w:tr>
        <w:tc>
          <w:tcPr>
            <w:tcW w:type="dxa" w:w="3969"/>
          </w:tcPr>
          <w:p>
            <w:pPr>
              <w:spacing w:after="0" w:line="288" w:lineRule="auto"/>
            </w:pPr>
            <w:r>
              <w:rPr>
                <w:rFonts w:ascii="Times New Roman" w:hAnsi="Times New Roman"/>
                <w:b/>
                <w:color w:val="000000"/>
                <w:sz w:val="24"/>
              </w:rPr>
              <w:t>PGS.TS. Nguyễn Đình Hiển</w:t>
            </w:r>
          </w:p>
        </w:tc>
        <w:tc>
          <w:tcPr>
            <w:tcW w:type="dxa" w:w="5102"/>
          </w:tcPr>
          <w:p>
            <w:pPr>
              <w:spacing w:after="0" w:line="288" w:lineRule="auto"/>
            </w:pPr>
            <w:r>
              <w:rPr>
                <w:rFonts w:ascii="Times New Roman" w:hAnsi="Times New Roman"/>
                <w:b/>
                <w:color w:val="000000"/>
                <w:sz w:val="23"/>
              </w:rPr>
              <w:t>Nhóm 9:</w:t>
              <w:br/>
            </w:r>
            <w:r>
              <w:rPr>
                <w:rFonts w:ascii="Times New Roman" w:hAnsi="Times New Roman"/>
                <w:b/>
                <w:color w:val="000000"/>
                <w:sz w:val="22"/>
              </w:rPr>
              <w:t>1. Trần Hoàng Hôn - 26410046 (Trưởng nhóm - Lớp A)</w:t>
              <w:br/>
            </w:r>
            <w:r>
              <w:rPr>
                <w:rFonts w:ascii="Times New Roman" w:hAnsi="Times New Roman"/>
                <w:b w:val="0"/>
                <w:color w:val="000000"/>
                <w:sz w:val="22"/>
              </w:rPr>
              <w:t>2. Đặng Chí Thanh - 25730067 (Lớp B)</w:t>
              <w:br/>
            </w:r>
            <w:r>
              <w:rPr>
                <w:rFonts w:ascii="Times New Roman" w:hAnsi="Times New Roman"/>
                <w:b w:val="0"/>
                <w:color w:val="000000"/>
                <w:sz w:val="22"/>
              </w:rPr>
              <w:t>3. Nguyễn Duy Khang - 26410055 (Lớp A)</w:t>
              <w:br/>
            </w:r>
            <w:r>
              <w:rPr>
                <w:rFonts w:ascii="Times New Roman" w:hAnsi="Times New Roman"/>
                <w:b w:val="0"/>
                <w:color w:val="000000"/>
                <w:sz w:val="22"/>
              </w:rPr>
              <w:t>4. Hoàng Cao Sơn - 25730061 (Lớp B)</w:t>
              <w:br/>
            </w:r>
            <w:r>
              <w:rPr>
                <w:rFonts w:ascii="Times New Roman" w:hAnsi="Times New Roman"/>
                <w:b w:val="0"/>
                <w:color w:val="000000"/>
                <w:sz w:val="22"/>
              </w:rPr>
              <w:t>5. Vũ Văn Duy - 26410031 (Lớp A)</w:t>
              <w:br/>
            </w:r>
            <w:r>
              <w:rPr>
                <w:rFonts w:ascii="Times New Roman" w:hAnsi="Times New Roman"/>
                <w:b w:val="0"/>
                <w:color w:val="000000"/>
                <w:sz w:val="22"/>
              </w:rPr>
              <w:t>6. Bùi Thị Mỷ Cẩm - 25730013 (Lớp B)</w:t>
              <w:br/>
            </w:r>
            <w:r>
              <w:rPr>
                <w:rFonts w:ascii="Times New Roman" w:hAnsi="Times New Roman"/>
                <w:b w:val="0"/>
                <w:color w:val="000000"/>
                <w:sz w:val="22"/>
              </w:rPr>
              <w:t>7. Phạm Thành Trung - 26410141 (Lớp A)</w:t>
            </w:r>
          </w:p>
        </w:tc>
      </w:tr>
    </w:tbl>
    <w:p>
      <w:pPr>
        <w:spacing w:before="48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4</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10</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11</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14</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19</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19</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23</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23</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25</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26</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26</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 xml:space="preserve">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 -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 -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160" w:after="60" w:line="276" w:lineRule="auto"/>
        <w:ind w:firstLine="0"/>
        <w:jc w:val="left"/>
      </w:pPr>
      <w:bookmarkStart w:id="1008" w:name="bm_h2_4"/>
      <w:bookmarkEnd w:id="1008"/>
      <w:r>
        <w:rPr>
          <w:rFonts w:ascii="Times New Roman" w:hAnsi="Times New Roman"/>
          <w:b/>
          <w:color w:val="000000"/>
          <w:sz w:val="26"/>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color w:val="000000"/>
          <w:sz w:val="26"/>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 - $f(x) = 0$: giao dịch hợp lệ. - $f(x)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 - Kỹ thuật xử lý mất cân bằng nào phù hợp hơn trên tập PaySim đã tiền xử lý? - Trong các mô hình được thử nghiệm, mô hình nào đạt cân bằng tốt nhất giữa Precision và Recall cho lớp fraud? - 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Thuộc tính</w:t>
            </w:r>
          </w:p>
        </w:tc>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Kiểu/nhóm</w:t>
            </w:r>
          </w:p>
        </w:tc>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Ý nghĩa</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step</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Thời gian</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Phân loại</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Loại giao dịch</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Định lượng</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Số tiền giao dịch</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nameOrig</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Định danh</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oldbalanceOrg</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Định lượng</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newbalanceOrig</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Định lượng</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nameDest</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Định danh</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Tài khoản nhận</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oldbalanceDest</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Định lượng</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newbalanceDest</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Định lượng</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isFraud</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Nhãn</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1 là fraud, 0 là normal</w:t>
            </w:r>
          </w:p>
        </w:tc>
      </w:tr>
      <w:tr>
        <w:trPr>
          <w:cantSplit/>
        </w:trPr>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Normal</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Fraud</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1.399.284</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2.233.384</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4.116</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41.432</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2.151.495</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528.812</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4.097</w:t>
            </w:r>
          </w:p>
        </w:tc>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Tập dữ liệu</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Normal</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Fraud</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Tổng</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Fraud ratio</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Dữ liệu gốc</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6.354.407</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8.213</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6.362.620</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0,129082%</w:t>
            </w:r>
          </w:p>
        </w:tc>
      </w:tr>
      <w:tr>
        <w:trPr>
          <w:cantSplit/>
        </w:trPr>
        <w:tc>
          <w:tcPr>
            <w:tcW w:type="dxa" w:w="181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Sau downsample</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191.787</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8.213</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200.000</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4,106500%</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Train</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153.430</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6.570</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160.000</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4,106250%</w:t>
            </w:r>
          </w:p>
        </w:tc>
      </w:tr>
      <w:tr>
        <w:trPr>
          <w:cantSplit/>
        </w:trPr>
        <w:tc>
          <w:tcPr>
            <w:tcW w:type="dxa" w:w="181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w:t>
            </w:r>
          </w:p>
        </w:tc>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Feature cuối</w:t>
            </w:r>
          </w:p>
        </w:tc>
        <w:tc>
          <w:tcPr>
            <w:tcW w:type="dxa" w:w="302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Nguồn/xử lý</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step</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amount</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3</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oldbalanceOrg</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newbalanceOrig</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oldbalanceDest</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6</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newbalanceDest</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Gốc + StandardScaler</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7</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hour_of_day</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8</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amount_to_oldbalance_ratio</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9</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errorBalanceOrig</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10</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errorBalanceDest</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11</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is_drain_account</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12</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is_night_transaction</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302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13</w:t>
            </w:r>
          </w:p>
        </w:tc>
        <w:tc>
          <w:tcPr>
            <w:tcW w:type="dxa" w:w="302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is_large_transaction</w:t>
            </w:r>
          </w:p>
        </w:tc>
        <w:tc>
          <w:tcPr>
            <w:tcW w:type="dxa" w:w="302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302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302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 xml:space="preserve">Quy trình thực nghiệm được tổ chức thành sáu bước tuần tự: -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 -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bảo toàn toàn bộ giao dịch gian lận và lấy mẫu ngẫu nhiên lớp bình thường để tạo tập làm việc 200.000 giao dịch. -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 -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 -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 -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keepNext/>
        <w:spacing w:before="160" w:after="60" w:line="276" w:lineRule="auto"/>
        <w:ind w:firstLine="0"/>
        <w:jc w:val="left"/>
      </w:pPr>
      <w:bookmarkStart w:id="1045" w:name="bm_h2_28"/>
      <w:bookmarkEnd w:id="1045"/>
      <w:r>
        <w:rPr>
          <w:rFonts w:ascii="Times New Roman" w:hAnsi="Times New Roman"/>
          <w:b/>
          <w:color w:val="000000"/>
          <w:sz w:val="26"/>
        </w:rPr>
        <w:t>5.2. So sánh hiệu năng các mô hình</w:t>
      </w:r>
    </w:p>
    <w:p>
      <w:pPr>
        <w:keepNext/>
        <w:spacing w:before="160" w:after="80"/>
        <w:jc w:val="center"/>
      </w:pPr>
      <w:r>
        <w:rPr>
          <w:rFonts w:ascii="Times New Roman" w:hAnsi="Times New Roman"/>
          <w:b/>
          <w:color w:val="000000"/>
          <w:sz w:val="22"/>
        </w:rPr>
        <w:t>Bảng 5.1. So sánh bốn chỉ số chính và Average Precision trên lớp gian lận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Mô hình</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Precision</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Recall</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F1-Score</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ROC-AUC</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Average Precision</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Random Forest + SMOTENC</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0,9994</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0,9951</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i w:val="0"/>
                <w:color w:val="000000"/>
                <w:sz w:val="20"/>
              </w:rPr>
              <w:t>0,9973</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0,9994</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0,9983</w:t>
            </w:r>
          </w:p>
        </w:tc>
      </w:tr>
      <w:tr>
        <w:trPr>
          <w:cantSplit/>
        </w:trPr>
        <w:tc>
          <w:tcPr>
            <w:tcW w:type="dxa" w:w="151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Random Forest + ADASYN</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0,9982</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0,9951</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0,9966</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0,9992</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0,9978</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XGBoost + SMOTENC</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0,9976</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0,9951</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0,9963</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0,9993</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0,9969</w:t>
            </w:r>
          </w:p>
        </w:tc>
      </w:tr>
      <w:tr>
        <w:trPr>
          <w:cantSplit/>
        </w:trPr>
        <w:tc>
          <w:tcPr>
            <w:tcW w:type="dxa" w:w="151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XGBoost + ADASYN</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0,9957</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0,9951</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0,9954</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0,9994</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0,9976</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0,7523</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0,5069</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0,9318</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0,5973</w:t>
            </w:r>
          </w:p>
        </w:tc>
      </w:tr>
    </w:tbl>
    <w:p>
      <w:pPr>
        <w:spacing w:before="0" w:after="120"/>
      </w:pP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keepNext/>
        <w:spacing w:before="160" w:after="60" w:line="276" w:lineRule="auto"/>
        <w:ind w:firstLine="0"/>
        <w:jc w:val="left"/>
      </w:pPr>
      <w:bookmarkStart w:id="1046" w:name="bm_h2_29"/>
      <w:bookmarkEnd w:id="1046"/>
      <w:r>
        <w:rPr>
          <w:rFonts w:ascii="Times New Roman" w:hAnsi="Times New Roman"/>
          <w:b/>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2" name="Picture 2"/>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5.1.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spacing w:before="160" w:after="80"/>
        <w:jc w:val="center"/>
      </w:pPr>
      <w:r>
        <w:rPr>
          <w:rFonts w:ascii="Times New Roman" w:hAnsi="Times New Roman"/>
          <w:b/>
          <w:color w:val="000000"/>
          <w:sz w:val="22"/>
        </w:rPr>
        <w:t>Bảng 5.2. Năm đặc trưng đóng góp nhiều nhất của hai mô hình dùng SMOTENC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Hạng</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Random Forest + SMOTENC</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Mức đóng góp</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XGBoost + SMOTENC</w:t>
            </w:r>
          </w:p>
        </w:tc>
        <w:tc>
          <w:tcPr>
            <w:tcW w:type="dxa" w:w="1814"/>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Mức đóng góp</w:t>
            </w:r>
          </w:p>
        </w:tc>
      </w:tr>
      <w:tr>
        <w:trPr>
          <w:cantSplit/>
        </w:trPr>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errorBalanceOrig</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0,4110</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errorBalanceOrig</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0,4994</w:t>
            </w:r>
          </w:p>
        </w:tc>
      </w:tr>
      <w:tr>
        <w:trPr>
          <w:cantSplit/>
        </w:trPr>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w:t>
            </w:r>
          </w:p>
        </w:tc>
        <w:tc>
          <w:tcPr>
            <w:tcW w:type="dxa" w:w="181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oldbalanceOrg</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0,1606</w:t>
            </w:r>
          </w:p>
        </w:tc>
        <w:tc>
          <w:tcPr>
            <w:tcW w:type="dxa" w:w="181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newbalanceOrig</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0,4717</w:t>
            </w:r>
          </w:p>
        </w:tc>
      </w:tr>
      <w:tr>
        <w:trPr>
          <w:cantSplit/>
        </w:trPr>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3</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is_drain_account</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0,1090</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errorBalanceDest</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0,0098</w:t>
            </w:r>
          </w:p>
        </w:tc>
      </w:tr>
      <w:tr>
        <w:trPr>
          <w:cantSplit/>
        </w:trPr>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w:t>
            </w:r>
          </w:p>
        </w:tc>
        <w:tc>
          <w:tcPr>
            <w:tcW w:type="dxa" w:w="181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newbalanceDest</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0,0595</w:t>
            </w:r>
          </w:p>
        </w:tc>
        <w:tc>
          <w:tcPr>
            <w:tcW w:type="dxa" w:w="1814"/>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is_drain_account</w:t>
            </w:r>
          </w:p>
        </w:tc>
        <w:tc>
          <w:tcPr>
            <w:tcW w:type="dxa" w:w="181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0,0059</w:t>
            </w:r>
          </w:p>
        </w:tc>
      </w:tr>
      <w:tr>
        <w:trPr>
          <w:cantSplit/>
        </w:trPr>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amount_to_oldbalance_ratio</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0,0519</w:t>
            </w:r>
          </w:p>
        </w:tc>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w:t>
            </w:r>
          </w:p>
        </w:tc>
        <w:tc>
          <w:tcPr>
            <w:tcW w:type="dxa" w:w="181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0,0049</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3" name="Picture 3"/>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5.2.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spacing w:before="160" w:after="80"/>
        <w:jc w:val="center"/>
      </w:pPr>
      <w:r>
        <w:rPr>
          <w:rFonts w:ascii="Times New Roman" w:hAnsi="Times New Roman"/>
          <w:b/>
          <w:color w:val="000000"/>
          <w:sz w:val="22"/>
        </w:rPr>
        <w:t>Bảng 6.1. Precision quy chiếu về tỷ lệ gian lận gốc của PaySim</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Mô hình</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FP trên test</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Precision trên test</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Precision quy chiếu</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Khoảng tin cậy 95%</w:t>
            </w:r>
          </w:p>
        </w:tc>
        <w:tc>
          <w:tcPr>
            <w:tcW w:type="dxa" w:w="1512"/>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Random Forest + SMOTENC</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0,9994</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i w:val="0"/>
                <w:color w:val="000000"/>
                <w:sz w:val="20"/>
              </w:rPr>
              <w:t>0,9801</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0,8985 - 0,9995</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26</w:t>
            </w:r>
          </w:p>
        </w:tc>
      </w:tr>
      <w:tr>
        <w:trPr>
          <w:cantSplit/>
        </w:trPr>
        <w:tc>
          <w:tcPr>
            <w:tcW w:type="dxa" w:w="151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Random Forest + ADASYN</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0,9982</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0,9427</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0,8491 - 0,9876</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78</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XGBoost + SMOTENC</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4</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0,9976</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0,9250</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0,8281 - 0,9784</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104</w:t>
            </w:r>
          </w:p>
        </w:tc>
      </w:tr>
      <w:tr>
        <w:trPr>
          <w:cantSplit/>
        </w:trPr>
        <w:tc>
          <w:tcPr>
            <w:tcW w:type="dxa" w:w="151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XGBoost + ADASYN</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7</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0,9957</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0,8757</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0,7738 - 0,9460</w:t>
            </w:r>
          </w:p>
        </w:tc>
        <w:tc>
          <w:tcPr>
            <w:tcW w:type="dxa" w:w="1512"/>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182</w:t>
            </w:r>
          </w:p>
        </w:tc>
      </w:tr>
      <w:tr>
        <w:trPr>
          <w:cantSplit/>
        </w:trPr>
        <w:tc>
          <w:tcPr>
            <w:tcW w:type="dxa" w:w="1512"/>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1.998</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0,0183</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0,0176 - 0,0191</w:t>
            </w:r>
          </w:p>
        </w:tc>
        <w:tc>
          <w:tcPr>
            <w:tcW w:type="dxa" w:w="1512"/>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52.022</w:t>
            </w:r>
          </w:p>
        </w:tc>
      </w:tr>
    </w:tbl>
    <w:p>
      <w:pPr>
        <w:spacing w:before="0" w:after="120"/>
      </w:pP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color w:val="000000"/>
          <w:sz w:val="26"/>
        </w:rPr>
        <w:t>6.4. Khác biệt giữa các mô hình có đủ tin cậy để xếp hạng không</w:t>
      </w:r>
    </w:p>
    <w:p>
      <w:pPr>
        <w:spacing w:before="0" w:after="40" w:line="312" w:lineRule="auto"/>
        <w:ind w:firstLine="720"/>
        <w:jc w:val="both"/>
      </w:pPr>
      <w:r>
        <w:rPr>
          <w:rFonts w:ascii="Times New Roman" w:hAnsi="Times New Roman"/>
          <w:b w:val="0"/>
          <w:i w:val="0"/>
          <w:color w:val="000000"/>
          <w:sz w:val="26"/>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color w:val="000000"/>
          <w:sz w:val="26"/>
        </w:rPr>
        <w:t>7.2. Đối chiếu với mục tiêu đề ra</w:t>
      </w:r>
    </w:p>
    <w:p>
      <w:pPr>
        <w:spacing w:before="0" w:after="40" w:line="312" w:lineRule="auto"/>
        <w:ind w:firstLine="720"/>
        <w:jc w:val="both"/>
      </w:pPr>
      <w:r>
        <w:rPr>
          <w:rFonts w:ascii="Times New Roman" w:hAnsi="Times New Roman"/>
          <w:b w:val="0"/>
          <w:i w:val="0"/>
          <w:color w:val="000000"/>
          <w:sz w:val="26"/>
        </w:rPr>
        <w:t>Bảng 7.1 đối chiếu bảy mục tiêu cụ thể nêu tại Mục 1.3.2 với kết quả thực tế.</w:t>
      </w:r>
    </w:p>
    <w:p>
      <w:pPr>
        <w:keepNext/>
        <w:spacing w:before="160" w:after="80"/>
        <w:jc w:val="center"/>
      </w:pPr>
      <w:r>
        <w:rPr>
          <w:rFonts w:ascii="Times New Roman" w:hAnsi="Times New Roman"/>
          <w:b/>
          <w:color w:val="000000"/>
          <w:sz w:val="22"/>
        </w:rPr>
        <w:t>Bảng 7.1. Mức độ hoàn thành các mục tiêu cụ thể</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Mục tiêu</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Kết quả</w:t>
            </w:r>
          </w:p>
        </w:tc>
        <w:tc>
          <w:tcPr>
            <w:tcW w:type="dxa" w:w="2268"/>
            <w:vAlign w:val="center"/>
            <w:tcMar>
              <w:top w:w="100" w:type="dxa"/>
              <w:bottom w:w="100" w:type="dxa"/>
              <w:left w:w="120" w:type="dxa"/>
              <w:right w:w="120" w:type="dxa"/>
            </w:tcMar>
            <w:shd w:fill="F2F2F2"/>
          </w:tcPr>
          <w:p>
            <w:pPr>
              <w:spacing w:before="40" w:after="40" w:line="276" w:lineRule="auto"/>
              <w:jc w:val="center"/>
            </w:pPr>
            <w:r>
              <w:rPr>
                <w:rFonts w:ascii="Times New Roman" w:hAnsi="Times New Roman"/>
                <w:b/>
                <w:i w:val="0"/>
                <w:color w:val="000000"/>
                <w:sz w:val="21"/>
              </w:rPr>
              <w:t>Vị trí</w:t>
            </w:r>
          </w:p>
        </w:tc>
      </w:tr>
      <w:tr>
        <w:trPr>
          <w:cantSplit/>
        </w:trPr>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Khảo sát và mô tả bộ dữ liệu PaySim</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Chương 3</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2</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Quy trình tiền xử lý có thể tái sử dụng</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Mục 3.5, 4.2</w:t>
            </w:r>
          </w:p>
        </w:tc>
      </w:tr>
      <w:tr>
        <w:trPr>
          <w:cantSplit/>
        </w:trPr>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3</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Khảo sát SMOTE và ADASYN trên tập huấn luyện</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Mục 4.3, 5.4</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Thử nghiệm ít nhất hai thuật toán</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Hoàn thành cả ba</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Mục 4.4, 4.5, 4.6</w:t>
            </w:r>
          </w:p>
        </w:tc>
      </w:tr>
      <w:tr>
        <w:trPr>
          <w:cantSplit/>
        </w:trPr>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Chương 5</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6</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Chương 5, 6, 7</w:t>
            </w:r>
          </w:p>
        </w:tc>
      </w:tr>
      <w:tr>
        <w:trPr>
          <w:cantSplit/>
        </w:trPr>
        <w:tc>
          <w:tcPr>
            <w:tcW w:type="dxa" w:w="2268"/>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7</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0" w:after="120"/>
      </w:pP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color w:val="000000"/>
          <w:sz w:val="26"/>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color w:val="000000"/>
          <w:sz w:val="26"/>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18">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19">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0">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1">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2">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3">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4">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5">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50505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016/j.jnca.2016.04.007." TargetMode="External"/><Relationship Id="rId19" Type="http://schemas.openxmlformats.org/officeDocument/2006/relationships/hyperlink" Target="https://www.msc-les.org/proceedings/emss/2016/EMSS2016_249.pdf." TargetMode="External"/><Relationship Id="rId20" Type="http://schemas.openxmlformats.org/officeDocument/2006/relationships/hyperlink" Target="https://www.kaggle.com/datasets/ealaxi/paysim1." TargetMode="External"/><Relationship Id="rId21" Type="http://schemas.openxmlformats.org/officeDocument/2006/relationships/hyperlink" Target="https://doi.org/10.1613/jair.953." TargetMode="External"/><Relationship Id="rId22" Type="http://schemas.openxmlformats.org/officeDocument/2006/relationships/hyperlink" Target="https://doi.org/10.1109/IJCNN.2008.4633969." TargetMode="External"/><Relationship Id="rId23" Type="http://schemas.openxmlformats.org/officeDocument/2006/relationships/hyperlink" Target="https://doi.org/10.1023/A:1010933404324." TargetMode="External"/><Relationship Id="rId24" Type="http://schemas.openxmlformats.org/officeDocument/2006/relationships/hyperlink" Target="https://doi.org/10.1145/2939672.2939785." TargetMode="External"/><Relationship Id="rId25"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