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4</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10</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11</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14</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19</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19</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23</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23</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25</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25</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26</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 xml:space="preserve">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 -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 -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160" w:after="60" w:line="276" w:lineRule="auto"/>
        <w:ind w:firstLine="0"/>
        <w:jc w:val="left"/>
      </w:pPr>
      <w:bookmarkStart w:id="1008" w:name="bm_h2_4"/>
      <w:bookmarkEnd w:id="1008"/>
      <w:r>
        <w:rPr>
          <w:rFonts w:ascii="Times New Roman" w:hAnsi="Times New Roman"/>
          <w:b/>
          <w:color w:val="000000"/>
          <w:sz w:val="26"/>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color w:val="000000"/>
          <w:sz w:val="26"/>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 - $f(x) = 0$: giao dịch hợp lệ. - $f(x)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 - Kỹ thuật xử lý mất cân bằng nào phù hợp hơn trên tập PaySim đã tiền xử lý? - Trong các mô hình được thử nghiệm, mô hình nào đạt cân bằng tốt nhất giữa Precision và Recall cho lớp fraud? - 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 xml:space="preserve">Quy trình thực nghiệm được tổ chức thành sáu bước tuần tự: -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 -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bảo toàn toàn bộ giao dịch gian lận và lấy mẫu ngẫu nhiên lớp bình thường để tạo tập làm việc 200.000 giao dịch. -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 -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 -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 -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keepNext/>
        <w:spacing w:before="160" w:after="60" w:line="276" w:lineRule="auto"/>
        <w:ind w:firstLine="0"/>
        <w:jc w:val="left"/>
      </w:pPr>
      <w:bookmarkStart w:id="1045" w:name="bm_h2_28"/>
      <w:bookmarkEnd w:id="1045"/>
      <w:r>
        <w:rPr>
          <w:rFonts w:ascii="Times New Roman" w:hAnsi="Times New Roman"/>
          <w:b/>
          <w:color w:val="000000"/>
          <w:sz w:val="26"/>
        </w:rPr>
        <w:t>5.2. So sánh hiệu năng các mô hình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0,5973</w:t>
            </w:r>
          </w:p>
        </w:tc>
      </w:tr>
    </w:tbl>
    <w:p>
      <w:pPr>
        <w:spacing w:before="80" w:after="160" w:line="276" w:lineRule="auto"/>
        <w:jc w:val="center"/>
      </w:pPr>
      <w:r>
        <w:rPr>
          <w:rFonts w:ascii="Times New Roman" w:hAnsi="Times New Roman"/>
          <w:b w:val="0"/>
          <w:i/>
          <w:color w:val="000000"/>
          <w:sz w:val="21"/>
        </w:rPr>
        <w:t>Bảng 5.1. So sánh bốn chỉ số chính và Average Precision trên lớp gian lận</w:t>
      </w: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keepNext/>
        <w:spacing w:before="160" w:after="60" w:line="276" w:lineRule="auto"/>
        <w:ind w:firstLine="0"/>
        <w:jc w:val="left"/>
      </w:pPr>
      <w:bookmarkStart w:id="1046" w:name="bm_h2_29"/>
      <w:bookmarkEnd w:id="1046"/>
      <w:r>
        <w:rPr>
          <w:rFonts w:ascii="Times New Roman" w:hAnsi="Times New Roman"/>
          <w:b/>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2" name="Picture 2"/>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5.1.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0,0049</w:t>
            </w:r>
          </w:p>
        </w:tc>
      </w:tr>
    </w:tbl>
    <w:p>
      <w:pPr>
        <w:spacing w:before="80" w:after="160" w:line="276" w:lineRule="auto"/>
        <w:jc w:val="center"/>
      </w:pPr>
      <w:r>
        <w:rPr>
          <w:rFonts w:ascii="Times New Roman" w:hAnsi="Times New Roman"/>
          <w:b w:val="0"/>
          <w:i/>
          <w:color w:val="000000"/>
          <w:sz w:val="21"/>
        </w:rPr>
        <w:t>Bảng 5.2. Năm đặc trưng đóng góp nhiều nhất của hai mô hình dùng SMOTENC</w:t>
      </w: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3" name="Picture 3"/>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5.2.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52.022</w:t>
            </w:r>
          </w:p>
        </w:tc>
      </w:tr>
    </w:tbl>
    <w:p>
      <w:pPr>
        <w:spacing w:before="80" w:after="160" w:line="276" w:lineRule="auto"/>
        <w:jc w:val="center"/>
      </w:pPr>
      <w:r>
        <w:rPr>
          <w:rFonts w:ascii="Times New Roman" w:hAnsi="Times New Roman"/>
          <w:b w:val="0"/>
          <w:i/>
          <w:color w:val="000000"/>
          <w:sz w:val="21"/>
        </w:rPr>
        <w:t>Bảng 6.1. Precision quy chiếu về tỷ lệ gian lận gốc của PaySim</w:t>
      </w: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color w:val="000000"/>
          <w:sz w:val="26"/>
        </w:rPr>
        <w:t>6.4. Khác biệt giữa các mô hình có đủ tin cậy để xếp hạng không</w:t>
      </w:r>
    </w:p>
    <w:p>
      <w:pPr>
        <w:spacing w:before="80" w:after="160" w:line="276" w:lineRule="auto"/>
        <w:jc w:val="center"/>
      </w:pPr>
      <w:r>
        <w:rPr>
          <w:rFonts w:ascii="Times New Roman" w:hAnsi="Times New Roman"/>
          <w:b w:val="0"/>
          <w:i/>
          <w:color w:val="000000"/>
          <w:sz w:val="21"/>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color w:val="000000"/>
          <w:sz w:val="26"/>
        </w:rPr>
        <w:t>7.2. Đối chiếu với mục tiêu đề ra</w:t>
      </w:r>
    </w:p>
    <w:p>
      <w:pPr>
        <w:spacing w:before="80" w:after="160" w:line="276" w:lineRule="auto"/>
        <w:jc w:val="center"/>
      </w:pPr>
      <w:r>
        <w:rPr>
          <w:rFonts w:ascii="Times New Roman" w:hAnsi="Times New Roman"/>
          <w:b w:val="0"/>
          <w:i/>
          <w:color w:val="000000"/>
          <w:sz w:val="21"/>
        </w:rPr>
        <w:t>Bảng 7.1 đối chiếu bảy mục tiêu cụ thể nêu tại Mục 1.3.2 với kết quả thực tế.</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80" w:after="160" w:line="276" w:lineRule="auto"/>
        <w:jc w:val="center"/>
      </w:pPr>
      <w:r>
        <w:rPr>
          <w:rFonts w:ascii="Times New Roman" w:hAnsi="Times New Roman"/>
          <w:b w:val="0"/>
          <w:i/>
          <w:color w:val="000000"/>
          <w:sz w:val="21"/>
        </w:rPr>
        <w:t>Bảng 7.1. Mức độ hoàn thành các mục tiêu cụ thể</w:t>
      </w: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color w:val="000000"/>
          <w:sz w:val="26"/>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color w:val="000000"/>
          <w:sz w:val="26"/>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18">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19">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0">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1">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2">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3">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4">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5">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016/j.jnca.2016.04.007." TargetMode="External"/><Relationship Id="rId19" Type="http://schemas.openxmlformats.org/officeDocument/2006/relationships/hyperlink" Target="https://www.msc-les.org/proceedings/emss/2016/EMSS2016_249.pdf." TargetMode="External"/><Relationship Id="rId20" Type="http://schemas.openxmlformats.org/officeDocument/2006/relationships/hyperlink" Target="https://www.kaggle.com/datasets/ealaxi/paysim1." TargetMode="External"/><Relationship Id="rId21" Type="http://schemas.openxmlformats.org/officeDocument/2006/relationships/hyperlink" Target="https://doi.org/10.1613/jair.953." TargetMode="External"/><Relationship Id="rId22" Type="http://schemas.openxmlformats.org/officeDocument/2006/relationships/hyperlink" Target="https://doi.org/10.1109/IJCNN.2008.4633969." TargetMode="External"/><Relationship Id="rId23" Type="http://schemas.openxmlformats.org/officeDocument/2006/relationships/hyperlink" Target="https://doi.org/10.1023/A:1010933404324." TargetMode="External"/><Relationship Id="rId24" Type="http://schemas.openxmlformats.org/officeDocument/2006/relationships/hyperlink" Target="https://doi.org/10.1145/2939672.2939785." TargetMode="External"/><Relationship Id="rId25"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