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Nguyễn Duy Khang - 26410055</w:t>
              <w:br/>
            </w:r>
            <w:r>
              <w:rPr>
                <w:rFonts w:ascii="Times New Roman" w:hAnsi="Times New Roman"/>
                <w:b w:val="0"/>
                <w:color w:val="000000"/>
                <w:sz w:val="22"/>
              </w:rPr>
              <w:t>3. Vũ Văn Duy - 26410031</w:t>
              <w:br/>
            </w:r>
            <w:r>
              <w:rPr>
                <w:rFonts w:ascii="Times New Roman" w:hAnsi="Times New Roman"/>
                <w:b w:val="0"/>
                <w:color w:val="000000"/>
                <w:sz w:val="22"/>
              </w:rPr>
              <w:t>4. Phạm Thành Trung - 26410141</w:t>
              <w:br/>
            </w:r>
            <w:r>
              <w:rPr>
                <w:rFonts w:ascii="Times New Roman" w:hAnsi="Times New Roman"/>
                <w:b w:val="0"/>
                <w:color w:val="000000"/>
                <w:sz w:val="22"/>
              </w:rPr>
              <w:t>5. Đặng Chí Thanh - 25730067</w:t>
              <w:br/>
            </w:r>
            <w:r>
              <w:rPr>
                <w:rFonts w:ascii="Times New Roman" w:hAnsi="Times New Roman"/>
                <w:b w:val="0"/>
                <w:color w:val="000000"/>
                <w:sz w:val="22"/>
              </w:rPr>
              <w:t>6. Bùi Thị Mỷ Cẩm - 25730013</w:t>
              <w:br/>
            </w:r>
            <w:r>
              <w:rPr>
                <w:rFonts w:ascii="Times New Roman" w:hAnsi="Times New Roman"/>
                <w:b w:val="0"/>
                <w:color w:val="000000"/>
                <w:sz w:val="22"/>
              </w:rPr>
              <w:t>7. Hoàng Cao Sơn - 25730061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8957"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ab/>
          <w:t xml:space="preserve">1</w:t>
        </w:r>
      </w:hyperlink>
    </w:p>
    <w:p>
      <w:pPr>
        <w:tabs>
          <w:tab w:pos="8957"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ab/>
          <w:t xml:space="preserve">2</w:t>
        </w:r>
      </w:hyperlink>
    </w:p>
    <w:p>
      <w:pPr>
        <w:tabs>
          <w:tab w:pos="8617"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ab/>
          <w:t xml:space="preserve">2</w:t>
        </w:r>
      </w:hyperlink>
    </w:p>
    <w:p>
      <w:pPr>
        <w:tabs>
          <w:tab w:pos="8617"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ab/>
          <w:t xml:space="preserve">3</w:t>
        </w:r>
      </w:hyperlink>
    </w:p>
    <w:p>
      <w:pPr>
        <w:tabs>
          <w:tab w:pos="8617"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ab/>
          <w:t xml:space="preserve">3</w:t>
        </w:r>
      </w:hyperlink>
    </w:p>
    <w:p>
      <w:pPr>
        <w:tabs>
          <w:tab w:pos="8277"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ab/>
          <w:t xml:space="preserve">3</w:t>
        </w:r>
      </w:hyperlink>
    </w:p>
    <w:p>
      <w:pPr>
        <w:tabs>
          <w:tab w:pos="8277"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ab/>
          <w:t xml:space="preserve">4</w:t>
        </w:r>
      </w:hyperlink>
    </w:p>
    <w:p>
      <w:pPr>
        <w:tabs>
          <w:tab w:pos="8617"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ab/>
          <w:t xml:space="preserve">4</w:t>
        </w:r>
      </w:hyperlink>
    </w:p>
    <w:p>
      <w:pPr>
        <w:tabs>
          <w:tab w:pos="8617"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ab/>
          <w:t xml:space="preserve">5</w:t>
        </w:r>
      </w:hyperlink>
    </w:p>
    <w:p>
      <w:pPr>
        <w:tabs>
          <w:tab w:pos="8957"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ab/>
          <w:t xml:space="preserve">5</w:t>
        </w:r>
      </w:hyperlink>
    </w:p>
    <w:p>
      <w:pPr>
        <w:tabs>
          <w:tab w:pos="8617"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ab/>
          <w:t xml:space="preserve">5</w:t>
        </w:r>
      </w:hyperlink>
    </w:p>
    <w:p>
      <w:pPr>
        <w:tabs>
          <w:tab w:pos="8617"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ab/>
          <w:t xml:space="preserve">5</w:t>
        </w:r>
      </w:hyperlink>
    </w:p>
    <w:p>
      <w:pPr>
        <w:tabs>
          <w:tab w:pos="8617"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ab/>
          <w:t xml:space="preserve">6</w:t>
        </w:r>
      </w:hyperlink>
    </w:p>
    <w:p>
      <w:pPr>
        <w:tabs>
          <w:tab w:pos="8277"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ab/>
          <w:t xml:space="preserve">6</w:t>
        </w:r>
      </w:hyperlink>
    </w:p>
    <w:p>
      <w:pPr>
        <w:tabs>
          <w:tab w:pos="8277"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ab/>
          <w:t xml:space="preserve">6</w:t>
        </w:r>
      </w:hyperlink>
    </w:p>
    <w:p>
      <w:pPr>
        <w:tabs>
          <w:tab w:pos="8277"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ab/>
          <w:t xml:space="preserve">6</w:t>
        </w:r>
      </w:hyperlink>
    </w:p>
    <w:p>
      <w:pPr>
        <w:tabs>
          <w:tab w:pos="8277"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ab/>
          <w:t xml:space="preserve">6</w:t>
        </w:r>
      </w:hyperlink>
    </w:p>
    <w:p>
      <w:pPr>
        <w:tabs>
          <w:tab w:pos="8617"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ab/>
          <w:t xml:space="preserve">6</w:t>
        </w:r>
      </w:hyperlink>
    </w:p>
    <w:p>
      <w:pPr>
        <w:tabs>
          <w:tab w:pos="8617"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ab/>
          <w:t xml:space="preserve">7</w:t>
        </w:r>
      </w:hyperlink>
    </w:p>
    <w:p>
      <w:pPr>
        <w:tabs>
          <w:tab w:pos="8957"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ab/>
          <w:t xml:space="preserve">7</w:t>
        </w:r>
      </w:hyperlink>
    </w:p>
    <w:p>
      <w:pPr>
        <w:tabs>
          <w:tab w:pos="8617"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ab/>
          <w:t xml:space="preserve">7</w:t>
        </w:r>
      </w:hyperlink>
    </w:p>
    <w:p>
      <w:pPr>
        <w:tabs>
          <w:tab w:pos="8617"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ab/>
          <w:t xml:space="preserve">8</w:t>
        </w:r>
      </w:hyperlink>
    </w:p>
    <w:p>
      <w:pPr>
        <w:tabs>
          <w:tab w:pos="8617"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ab/>
          <w:t xml:space="preserve">8</w:t>
        </w:r>
      </w:hyperlink>
    </w:p>
    <w:p>
      <w:pPr>
        <w:tabs>
          <w:tab w:pos="8617"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ab/>
          <w:t xml:space="preserve">9</w:t>
        </w:r>
      </w:hyperlink>
    </w:p>
    <w:p>
      <w:pPr>
        <w:tabs>
          <w:tab w:pos="8617"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ab/>
          <w:t xml:space="preserve">9</w:t>
        </w:r>
      </w:hyperlink>
    </w:p>
    <w:p>
      <w:pPr>
        <w:tabs>
          <w:tab w:pos="8617"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ab/>
          <w:t xml:space="preserve">10</w:t>
        </w:r>
      </w:hyperlink>
    </w:p>
    <w:p>
      <w:pPr>
        <w:tabs>
          <w:tab w:pos="8277"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ab/>
          <w:t xml:space="preserve">10</w:t>
        </w:r>
      </w:hyperlink>
    </w:p>
    <w:p>
      <w:pPr>
        <w:tabs>
          <w:tab w:pos="8277"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ab/>
          <w:t xml:space="preserve">10</w:t>
        </w:r>
      </w:hyperlink>
    </w:p>
    <w:p>
      <w:pPr>
        <w:tabs>
          <w:tab w:pos="8277"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ab/>
          <w:t xml:space="preserve">10</w:t>
        </w:r>
      </w:hyperlink>
    </w:p>
    <w:p>
      <w:pPr>
        <w:tabs>
          <w:tab w:pos="8277"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ab/>
          <w:t xml:space="preserve">10</w:t>
        </w:r>
      </w:hyperlink>
    </w:p>
    <w:p>
      <w:pPr>
        <w:tabs>
          <w:tab w:pos="8277"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ab/>
          <w:t xml:space="preserve">11</w:t>
        </w:r>
      </w:hyperlink>
    </w:p>
    <w:p>
      <w:pPr>
        <w:tabs>
          <w:tab w:pos="8617"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ab/>
          <w:t xml:space="preserve">11</w:t>
        </w:r>
      </w:hyperlink>
    </w:p>
    <w:p>
      <w:pPr>
        <w:tabs>
          <w:tab w:pos="8957"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ab/>
          <w:t xml:space="preserve">11</w:t>
        </w:r>
      </w:hyperlink>
    </w:p>
    <w:p>
      <w:pPr>
        <w:tabs>
          <w:tab w:pos="8617"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ab/>
          <w:t xml:space="preserve">11</w:t>
        </w:r>
      </w:hyperlink>
    </w:p>
    <w:p>
      <w:pPr>
        <w:tabs>
          <w:tab w:pos="8617"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ab/>
          <w:t xml:space="preserve">12</w:t>
        </w:r>
      </w:hyperlink>
    </w:p>
    <w:p>
      <w:pPr>
        <w:tabs>
          <w:tab w:pos="8617"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ab/>
          <w:t xml:space="preserve">12</w:t>
        </w:r>
      </w:hyperlink>
    </w:p>
    <w:p>
      <w:pPr>
        <w:tabs>
          <w:tab w:pos="8617"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ab/>
          <w:t xml:space="preserve">13</w:t>
        </w:r>
      </w:hyperlink>
    </w:p>
    <w:p>
      <w:pPr>
        <w:tabs>
          <w:tab w:pos="8617"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ab/>
          <w:t xml:space="preserve">13</w:t>
        </w:r>
      </w:hyperlink>
    </w:p>
    <w:p>
      <w:pPr>
        <w:tabs>
          <w:tab w:pos="8617"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ab/>
          <w:t xml:space="preserve">13</w:t>
        </w:r>
      </w:hyperlink>
    </w:p>
    <w:p>
      <w:pPr>
        <w:tabs>
          <w:tab w:pos="8617"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ab/>
          <w:t xml:space="preserve">14</w:t>
        </w:r>
      </w:hyperlink>
    </w:p>
    <w:p>
      <w:pPr>
        <w:tabs>
          <w:tab w:pos="8617"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ab/>
          <w:t xml:space="preserve">15</w:t>
        </w:r>
      </w:hyperlink>
    </w:p>
    <w:p>
      <w:pPr>
        <w:tabs>
          <w:tab w:pos="8617"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ab/>
          <w:t xml:space="preserve">15</w:t>
        </w:r>
      </w:hyperlink>
    </w:p>
    <w:p>
      <w:pPr>
        <w:tabs>
          <w:tab w:pos="8957"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ab/>
          <w:t xml:space="preserve">15</w:t>
        </w:r>
      </w:hyperlink>
    </w:p>
    <w:p>
      <w:pPr>
        <w:tabs>
          <w:tab w:pos="8617"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ab/>
          <w:t xml:space="preserve">15</w:t>
        </w:r>
      </w:hyperlink>
    </w:p>
    <w:p>
      <w:pPr>
        <w:tabs>
          <w:tab w:pos="8617"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ab/>
          <w:t xml:space="preserve">16</w:t>
        </w:r>
      </w:hyperlink>
    </w:p>
    <w:p>
      <w:pPr>
        <w:tabs>
          <w:tab w:pos="8617"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ab/>
          <w:t xml:space="preserve">18</w:t>
        </w:r>
      </w:hyperlink>
    </w:p>
    <w:p>
      <w:pPr>
        <w:tabs>
          <w:tab w:pos="8617"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ab/>
          <w:t xml:space="preserve">19</w:t>
        </w:r>
      </w:hyperlink>
    </w:p>
    <w:p>
      <w:pPr>
        <w:tabs>
          <w:tab w:pos="8617"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ab/>
          <w:t xml:space="preserve">19</w:t>
        </w:r>
      </w:hyperlink>
    </w:p>
    <w:p>
      <w:pPr>
        <w:tabs>
          <w:tab w:pos="8617"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ab/>
          <w:t xml:space="preserve">21</w:t>
        </w:r>
      </w:hyperlink>
    </w:p>
    <w:p>
      <w:pPr>
        <w:tabs>
          <w:tab w:pos="8957"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ab/>
          <w:t xml:space="preserve">21</w:t>
        </w:r>
      </w:hyperlink>
    </w:p>
    <w:p>
      <w:pPr>
        <w:tabs>
          <w:tab w:pos="8617"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ab/>
          <w:t xml:space="preserve">21</w:t>
        </w:r>
      </w:hyperlink>
    </w:p>
    <w:p>
      <w:pPr>
        <w:tabs>
          <w:tab w:pos="8617"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ab/>
          <w:t xml:space="preserve">22</w:t>
        </w:r>
      </w:hyperlink>
    </w:p>
    <w:p>
      <w:pPr>
        <w:tabs>
          <w:tab w:pos="8617"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ab/>
          <w:t xml:space="preserve">23</w:t>
        </w:r>
      </w:hyperlink>
    </w:p>
    <w:p>
      <w:pPr>
        <w:tabs>
          <w:tab w:pos="8617"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ab/>
          <w:t xml:space="preserve">23</w:t>
        </w:r>
      </w:hyperlink>
    </w:p>
    <w:p>
      <w:pPr>
        <w:tabs>
          <w:tab w:pos="8617"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ab/>
          <w:t xml:space="preserve">24</w:t>
        </w:r>
      </w:hyperlink>
    </w:p>
    <w:p>
      <w:pPr>
        <w:tabs>
          <w:tab w:pos="8617"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ab/>
          <w:t xml:space="preserve">24</w:t>
        </w:r>
      </w:hyperlink>
    </w:p>
    <w:p>
      <w:pPr>
        <w:tabs>
          <w:tab w:pos="8617"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ab/>
          <w:t xml:space="preserve">25</w:t>
        </w:r>
      </w:hyperlink>
    </w:p>
    <w:p>
      <w:pPr>
        <w:tabs>
          <w:tab w:pos="8957"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ab/>
          <w:t xml:space="preserve">25</w:t>
        </w:r>
      </w:hyperlink>
    </w:p>
    <w:p>
      <w:pPr>
        <w:tabs>
          <w:tab w:pos="8617"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ab/>
          <w:t xml:space="preserve">25</w:t>
        </w:r>
      </w:hyperlink>
    </w:p>
    <w:p>
      <w:pPr>
        <w:tabs>
          <w:tab w:pos="8617"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ab/>
          <w:t xml:space="preserve">25</w:t>
        </w:r>
      </w:hyperlink>
    </w:p>
    <w:p>
      <w:pPr>
        <w:tabs>
          <w:tab w:pos="8617"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ab/>
          <w:t xml:space="preserve">26</w:t>
        </w:r>
      </w:hyperlink>
    </w:p>
    <w:p>
      <w:pPr>
        <w:tabs>
          <w:tab w:pos="8617"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ab/>
          <w:t xml:space="preserve">27</w:t>
        </w:r>
      </w:hyperlink>
    </w:p>
    <w:p>
      <w:pPr>
        <w:tabs>
          <w:tab w:pos="8617"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ab/>
          <w:t xml:space="preserve">27</w:t>
        </w:r>
      </w:hyperlink>
    </w:p>
    <w:p>
      <w:pPr>
        <w:tabs>
          <w:tab w:pos="8957"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ab/>
          <w:t xml:space="preserve">27</w:t>
        </w:r>
      </w:hyperlink>
    </w:p>
    <w:p>
      <w:pPr>
        <w:tabs>
          <w:tab w:pos="8617"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ab/>
          <w:t xml:space="preserve">28</w:t>
        </w:r>
      </w:hyperlink>
    </w:p>
    <w:p>
      <w:pPr>
        <w:tabs>
          <w:tab w:pos="8617"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ab/>
          <w:t xml:space="preserve">28</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i w:val="0"/>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i w:val="0"/>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i w:val="0"/>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i w:val="0"/>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i w:val="0"/>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left"/>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left"/>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left"/>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left"/>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left"/>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left"/>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left"/>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Báo cáo đã trình bày quy trình tiền xử lý, xử lý mất cân bằng và cả ba họ mô hình. Các kết luận thực nghiệm được giới hạn trong tập kiểm tra PaySim đã xử lý, không suy rộng sang dữ liệu giao dịch thực tế.</w:t>
      </w:r>
    </w:p>
    <w:p>
      <w:pPr>
        <w:keepNext/>
        <w:spacing w:before="160" w:after="60" w:line="276" w:lineRule="auto"/>
        <w:ind w:firstLine="0"/>
        <w:jc w:val="left"/>
      </w:pPr>
      <w:bookmarkStart w:id="1008" w:name="bm_h2_4"/>
      <w:bookmarkEnd w:id="1008"/>
      <w:r>
        <w:rPr>
          <w:rFonts w:ascii="Times New Roman" w:hAnsi="Times New Roman"/>
          <w:b/>
          <w:i w:val="0"/>
          <w:color w:val="000000"/>
          <w:sz w:val="26"/>
        </w:rPr>
        <w:t>1.4. Đối tượng và phạm vi nghiên cứu</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i w:val="0"/>
          <w:color w:val="000000"/>
          <w:sz w:val="26"/>
        </w:rPr>
        <w:t>1.5. Cấu trúc báo cáo dự kiến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i w:val="0"/>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i w:val="0"/>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$f(x) = 0$: giao dịch hợp lệ.</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i w:val="0"/>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i w:val="0"/>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i w:val="0"/>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left"/>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left"/>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left"/>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left"/>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left"/>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left"/>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i w:val="0"/>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Kỹ thuật xử lý mất cân bằng nào phù hợp hơn trên tập PaySim đã tiền xử lý?</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Trong các mô hình được thử nghiệm, mô hình nào đạt cân bằng tốt nhất giữa Precision và Recall cho lớp fraud?</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i w:val="0"/>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i w:val="0"/>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i w:val="0"/>
          <w:color w:val="000000"/>
          <w:sz w:val="26"/>
        </w:rPr>
        <w:t>3.2. Cấu trúc dữ liệu gốc</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3024"/>
        <w:gridCol w:w="3024"/>
        <w:gridCol w:w="3024"/>
      </w:tblGrid>
      <w:tr>
        <w:trPr>
          <w:cantSplit/>
          <w:tblHeader/>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i w:val="0"/>
          <w:color w:val="000000"/>
          <w:sz w:val="26"/>
        </w:rPr>
        <w:t>3.3. Phân bố giao dịch và nhãn</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2268"/>
        <w:gridCol w:w="2268"/>
        <w:gridCol w:w="2268"/>
        <w:gridCol w:w="2268"/>
      </w:tblGrid>
      <w:tr>
        <w:trPr>
          <w:cantSplit/>
          <w:tblHeader/>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i w:val="0"/>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1814"/>
        <w:gridCol w:w="1814"/>
        <w:gridCol w:w="1814"/>
        <w:gridCol w:w="1814"/>
        <w:gridCol w:w="1814"/>
      </w:tblGrid>
      <w:tr>
        <w:trPr>
          <w:cantSplit/>
          <w:tblHeader/>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i w:val="0"/>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3024"/>
        <w:gridCol w:w="3024"/>
        <w:gridCol w:w="3024"/>
      </w:tblGrid>
      <w:tr>
        <w:trPr>
          <w:cantSplit/>
          <w:tblHeader/>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i w:val="0"/>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đồ án và được ghi nhận tại Mục 7.4 như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i w:val="0"/>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i w:val="0"/>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i w:val="0"/>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Quy trình thực nghiệm được tổ chức thành sáu bước tuần tự:</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bảo toàn toàn bộ giao dịch gian lận và lấy mẫu ngẫu nhiên lớp bình thường để tạo tập làm việc 200.000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i w:val="0"/>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i w:val="0"/>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i w:val="0"/>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i w:val="0"/>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i w:val="0"/>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i w:val="0"/>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của cả năm biến thể được trình bày tại Mục 5.2.</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i w:val="0"/>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i w:val="0"/>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i w:val="0"/>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i w:val="0"/>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các biểu đồ và bảng mức đóng góp của đặc trưng dưới đây đều được sinh lại bằng cùng script đó. Toàn bộ giá trị trong Bảng 5.1 đã được đối chiếu và khớp tuyệt đối với </w:t>
      </w:r>
      <w:r>
        <w:rPr>
          <w:rFonts w:ascii="Courier New" w:hAnsi="Courier New"/>
          <w:b w:val="0"/>
          <w:i w:val="0"/>
          <w:color w:val="000000"/>
          <w:sz w:val="25"/>
        </w:rPr>
        <w:t>reports/model_comparison.csv</w:t>
      </w:r>
      <w:r>
        <w:rPr>
          <w:rFonts w:ascii="Times New Roman" w:hAnsi="Times New Roman"/>
          <w:b w:val="0"/>
          <w:i w:val="0"/>
          <w:color w:val="000000"/>
          <w:sz w:val="26"/>
        </w:rPr>
        <w:t xml:space="preserve"> do bước đánh giá chéo của nhóm xuất ra, nên hai nguồn tính độc lập cho cùng một kết quả.</w:t>
      </w:r>
    </w:p>
    <w:p>
      <w:pPr>
        <w:keepNext/>
        <w:spacing w:before="160" w:after="60" w:line="276" w:lineRule="auto"/>
        <w:ind w:firstLine="0"/>
        <w:jc w:val="left"/>
      </w:pPr>
      <w:bookmarkStart w:id="1045" w:name="bm_h2_28"/>
      <w:bookmarkEnd w:id="1045"/>
      <w:r>
        <w:rPr>
          <w:rFonts w:ascii="Times New Roman" w:hAnsi="Times New Roman"/>
          <w:b/>
          <w:i w:val="0"/>
          <w:color w:val="000000"/>
          <w:sz w:val="26"/>
        </w:rPr>
        <w:t>5.2. So sánh hiệu năng các mô hình</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0,5973</w:t>
            </w:r>
          </w:p>
        </w:tc>
      </w:tr>
    </w:tbl>
    <w:p>
      <w:pPr>
        <w:spacing w:before="80" w:after="160" w:line="276" w:lineRule="auto"/>
        <w:jc w:val="center"/>
      </w:pPr>
      <w:r>
        <w:rPr>
          <w:rFonts w:ascii="Times New Roman" w:hAnsi="Times New Roman"/>
          <w:b w:val="0"/>
          <w:i/>
          <w:color w:val="000000"/>
          <w:sz w:val="21"/>
        </w:rPr>
        <w:t>Bảng 5.1. So sánh bốn chỉ số chính và Average Precision trên lớp gian lận</w:t>
      </w: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spacing w:before="160" w:after="60"/>
        <w:jc w:val="center"/>
      </w:pPr>
      <w:r>
        <w:drawing>
          <wp:inline xmlns:a="http://schemas.openxmlformats.org/drawingml/2006/main" xmlns:pic="http://schemas.openxmlformats.org/drawingml/2006/picture">
            <wp:extent cx="5220000" cy="3897365"/>
            <wp:docPr id="2" name="Picture 2"/>
            <wp:cNvGraphicFramePr>
              <a:graphicFrameLocks noChangeAspect="1"/>
            </wp:cNvGraphicFramePr>
            <a:graphic>
              <a:graphicData uri="http://schemas.openxmlformats.org/drawingml/2006/picture">
                <pic:pic>
                  <pic:nvPicPr>
                    <pic:cNvPr id="0" name="roc_curves_all.png"/>
                    <pic:cNvPicPr/>
                  </pic:nvPicPr>
                  <pic:blipFill>
                    <a:blip r:embed="rId16"/>
                    <a:stretch>
                      <a:fillRect/>
                    </a:stretch>
                  </pic:blipFill>
                  <pic:spPr>
                    <a:xfrm>
                      <a:off x="0" y="0"/>
                      <a:ext cx="5220000" cy="3897365"/>
                    </a:xfrm>
                    <a:prstGeom prst="rect"/>
                  </pic:spPr>
                </pic:pic>
              </a:graphicData>
            </a:graphic>
          </wp:inline>
        </w:drawing>
      </w:r>
    </w:p>
    <w:p>
      <w:pPr>
        <w:spacing w:before="40" w:after="160"/>
        <w:jc w:val="center"/>
      </w:pPr>
      <w:r>
        <w:rPr>
          <w:rFonts w:ascii="Times New Roman" w:hAnsi="Times New Roman"/>
          <w:i/>
          <w:color w:val="000000"/>
          <w:sz w:val="21"/>
        </w:rPr>
        <w:t>Hình 5.1. Đường ROC của năm biến thể mô hình trên tập kiểm tra</w:t>
      </w:r>
    </w:p>
    <w:p>
      <w:pPr>
        <w:spacing w:before="160" w:after="60"/>
        <w:jc w:val="center"/>
      </w:pPr>
      <w:r>
        <w:drawing>
          <wp:inline xmlns:a="http://schemas.openxmlformats.org/drawingml/2006/main" xmlns:pic="http://schemas.openxmlformats.org/drawingml/2006/picture">
            <wp:extent cx="5220000" cy="3897365"/>
            <wp:docPr id="3" name="Picture 3"/>
            <wp:cNvGraphicFramePr>
              <a:graphicFrameLocks noChangeAspect="1"/>
            </wp:cNvGraphicFramePr>
            <a:graphic>
              <a:graphicData uri="http://schemas.openxmlformats.org/drawingml/2006/picture">
                <pic:pic>
                  <pic:nvPicPr>
                    <pic:cNvPr id="0" name="pr_curves_all.png"/>
                    <pic:cNvPicPr/>
                  </pic:nvPicPr>
                  <pic:blipFill>
                    <a:blip r:embed="rId17"/>
                    <a:stretch>
                      <a:fillRect/>
                    </a:stretch>
                  </pic:blipFill>
                  <pic:spPr>
                    <a:xfrm>
                      <a:off x="0" y="0"/>
                      <a:ext cx="5220000" cy="3897365"/>
                    </a:xfrm>
                    <a:prstGeom prst="rect"/>
                  </pic:spPr>
                </pic:pic>
              </a:graphicData>
            </a:graphic>
          </wp:inline>
        </w:drawing>
      </w:r>
    </w:p>
    <w:p>
      <w:pPr>
        <w:spacing w:before="40" w:after="160"/>
        <w:jc w:val="center"/>
      </w:pPr>
      <w:r>
        <w:rPr>
          <w:rFonts w:ascii="Times New Roman" w:hAnsi="Times New Roman"/>
          <w:i/>
          <w:color w:val="000000"/>
          <w:sz w:val="21"/>
        </w:rPr>
        <w:t>Hình 5.2. Đường Precision–Recall của năm biến thể mô hình trên tập kiểm tra</w:t>
      </w:r>
    </w:p>
    <w:p>
      <w:pPr>
        <w:spacing w:before="0" w:after="40" w:line="312" w:lineRule="auto"/>
        <w:ind w:firstLine="720"/>
        <w:jc w:val="both"/>
      </w:pPr>
      <w:r>
        <w:rPr>
          <w:rFonts w:ascii="Times New Roman" w:hAnsi="Times New Roman"/>
          <w:b w:val="0"/>
          <w:i w:val="0"/>
          <w:color w:val="000000"/>
          <w:sz w:val="26"/>
        </w:rPr>
        <w:t>Hình 5.1 và Hình 5.2 trực quan hóa nhận định trên. Trên đường ROC, bốn biến thể học có giám sát gần như trùng nhau và ép sát góc trên bên trái, còn Autoencoder tuy thấp hơn nhưng vẫn cách xa đường chéo ngẫu nhiên. Trên đường Precision–Recall, khoảng cách giữa hai nhóm mô hình giãn ra rõ rệt: bốn biến thể học có giám sát giữ Precision gần 1,0 trên toàn dải Recall, trong khi Precision của Autoencoder suy giảm liên tục và chỉ còn khoảng 0,05 ở mức Recall cao nhất. Cùng một mô hình nhưng hai đồ thị cho hai ấn tượng khác nhau, đó là lý do đề bài yêu cầu không dựa vào một chỉ số duy nhất.</w:t>
      </w:r>
    </w:p>
    <w:p>
      <w:pPr>
        <w:keepNext/>
        <w:spacing w:before="160" w:after="60" w:line="276" w:lineRule="auto"/>
        <w:ind w:firstLine="0"/>
        <w:jc w:val="left"/>
      </w:pPr>
      <w:bookmarkStart w:id="1046" w:name="bm_h2_29"/>
      <w:bookmarkEnd w:id="1046"/>
      <w:r>
        <w:rPr>
          <w:rFonts w:ascii="Times New Roman" w:hAnsi="Times New Roman"/>
          <w:b/>
          <w:i w:val="0"/>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4" name="Picture 4"/>
            <wp:cNvGraphicFramePr>
              <a:graphicFrameLocks noChangeAspect="1"/>
            </wp:cNvGraphicFramePr>
            <a:graphic>
              <a:graphicData uri="http://schemas.openxmlformats.org/drawingml/2006/picture">
                <pic:pic>
                  <pic:nvPicPr>
                    <pic:cNvPr id="0" name="confusion_matrix_components.png"/>
                    <pic:cNvPicPr/>
                  </pic:nvPicPr>
                  <pic:blipFill>
                    <a:blip r:embed="rId18"/>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5.3.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5.3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i w:val="0"/>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i w:val="0"/>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1814"/>
        <w:gridCol w:w="1814"/>
        <w:gridCol w:w="1814"/>
        <w:gridCol w:w="1814"/>
        <w:gridCol w:w="1814"/>
      </w:tblGrid>
      <w:tr>
        <w:trPr>
          <w:cantSplit/>
          <w:tblHeader/>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0,0049</w:t>
            </w:r>
          </w:p>
        </w:tc>
      </w:tr>
    </w:tbl>
    <w:p>
      <w:pPr>
        <w:spacing w:before="80" w:after="160" w:line="276" w:lineRule="auto"/>
        <w:jc w:val="center"/>
      </w:pPr>
      <w:r>
        <w:rPr>
          <w:rFonts w:ascii="Times New Roman" w:hAnsi="Times New Roman"/>
          <w:b w:val="0"/>
          <w:i/>
          <w:color w:val="000000"/>
          <w:sz w:val="21"/>
        </w:rPr>
        <w:t>Bảng 5.2. Năm đặc trưng đóng góp nhiều nhất của hai mô hình dùng SMOTENC</w:t>
      </w: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5" name="Picture 5"/>
            <wp:cNvGraphicFramePr>
              <a:graphicFrameLocks noChangeAspect="1"/>
            </wp:cNvGraphicFramePr>
            <a:graphic>
              <a:graphicData uri="http://schemas.openxmlformats.org/drawingml/2006/picture">
                <pic:pic>
                  <pic:nvPicPr>
                    <pic:cNvPr id="0" name="feature_importance_comparison.png"/>
                    <pic:cNvPicPr/>
                  </pic:nvPicPr>
                  <pic:blipFill>
                    <a:blip r:embed="rId19"/>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5.4.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5.4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i w:val="0"/>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i w:val="0"/>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i w:val="0"/>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i w:val="0"/>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i w:val="0"/>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52.022</w:t>
            </w:r>
          </w:p>
        </w:tc>
      </w:tr>
    </w:tbl>
    <w:p>
      <w:pPr>
        <w:spacing w:before="80" w:after="160" w:line="276" w:lineRule="auto"/>
        <w:jc w:val="center"/>
      </w:pPr>
      <w:r>
        <w:rPr>
          <w:rFonts w:ascii="Times New Roman" w:hAnsi="Times New Roman"/>
          <w:b w:val="0"/>
          <w:i/>
          <w:color w:val="000000"/>
          <w:sz w:val="21"/>
        </w:rPr>
        <w:t>Bảng 6.1. Precision quy chiếu về tỷ lệ gian lận gốc của PaySim</w:t>
      </w: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i w:val="0"/>
          <w:color w:val="000000"/>
          <w:sz w:val="26"/>
        </w:rPr>
        <w:t>6.4. Khác biệt giữa các mô hình có đủ tin cậy để xếp hạng không</w:t>
      </w:r>
    </w:p>
    <w:p>
      <w:pPr>
        <w:spacing w:before="80" w:after="160" w:line="276" w:lineRule="auto"/>
        <w:jc w:val="center"/>
      </w:pPr>
      <w:r>
        <w:rPr>
          <w:rFonts w:ascii="Times New Roman" w:hAnsi="Times New Roman"/>
          <w:b w:val="0"/>
          <w:i/>
          <w:color w:val="000000"/>
          <w:sz w:val="21"/>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i w:val="0"/>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i w:val="0"/>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i w:val="0"/>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i w:val="0"/>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i w:val="0"/>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i w:val="0"/>
          <w:color w:val="000000"/>
          <w:sz w:val="26"/>
        </w:rPr>
        <w:t>7.2. Đối chiếu với mục tiêu đề ra</w:t>
      </w:r>
    </w:p>
    <w:p>
      <w:pPr>
        <w:spacing w:before="80" w:after="160" w:line="276" w:lineRule="auto"/>
        <w:jc w:val="center"/>
      </w:pPr>
      <w:r>
        <w:rPr>
          <w:rFonts w:ascii="Times New Roman" w:hAnsi="Times New Roman"/>
          <w:b w:val="0"/>
          <w:i/>
          <w:color w:val="000000"/>
          <w:sz w:val="21"/>
        </w:rPr>
        <w:t>Bảng 7.1 đối chiếu bảy mục tiêu cụ thể nêu tại Mục 1.3.2 với kết quả thực tế.</w:t>
      </w:r>
    </w:p>
    <w:tbl>
      <w:tblPr>
        <w:tblW w:type="auto" w:w="0"/>
        <w:jc w:val="center"/>
        <w:tblBorders>
          <w:top w:val="single" w:sz="6" w:space="0" w:color="CCCCCC"/>
          <w:bottom w:val="single" w:sz="6" w:space="0" w:color="CCCCCC"/>
          <w:insideH w:val="single" w:sz="4" w:space="0" w:color="CCCCCC"/>
          <w:insideV w:val="none"/>
          <w:left w:val="none"/>
          <w:right w:val="none"/>
        </w:tblBorders>
        <w:tblLayout w:type="fixed"/>
        <w:tblLook w:firstColumn="1" w:firstRow="1" w:lastColumn="0" w:lastRow="0" w:noHBand="0" w:noVBand="1" w:val="04A0"/>
      </w:tblPr>
      <w:tblGrid>
        <w:gridCol w:w="2268"/>
        <w:gridCol w:w="2268"/>
        <w:gridCol w:w="2268"/>
        <w:gridCol w:w="2268"/>
      </w:tblGrid>
      <w:tr>
        <w:trPr>
          <w:cantSplit/>
          <w:tblHeader/>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80" w:after="160" w:line="276" w:lineRule="auto"/>
        <w:jc w:val="center"/>
      </w:pPr>
      <w:r>
        <w:rPr>
          <w:rFonts w:ascii="Times New Roman" w:hAnsi="Times New Roman"/>
          <w:b w:val="0"/>
          <w:i/>
          <w:color w:val="000000"/>
          <w:sz w:val="21"/>
        </w:rPr>
        <w:t>Bảng 7.1. Mức độ hoàn thành các mục tiêu cụ thể</w:t>
      </w: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bốn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i w:val="0"/>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i w:val="0"/>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i w:val="0"/>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i w:val="0"/>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i w:val="0"/>
          <w:color w:val="000000"/>
          <w:sz w:val="26"/>
        </w:rPr>
        <w:t>Tài liệu nội bộ của dự án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Nguyễn Duy Khang, </w:t>
      </w:r>
      <w:r>
        <w:rPr>
          <w:rFonts w:ascii="Courier New" w:hAnsi="Courier New"/>
          <w:b w:val="0"/>
          <w:i w:val="0"/>
          <w:color w:val="000000"/>
          <w:sz w:val="25"/>
        </w:rPr>
        <w:t>reports/model_comparison.csv</w:t>
      </w:r>
      <w:r>
        <w:rPr>
          <w:rFonts w:ascii="Times New Roman" w:hAnsi="Times New Roman"/>
          <w:b w:val="0"/>
          <w:i w:val="0"/>
          <w:color w:val="000000"/>
          <w:sz w:val="26"/>
        </w:rPr>
        <w:t xml:space="preserve">, </w:t>
      </w:r>
      <w:r>
        <w:rPr>
          <w:rFonts w:ascii="Courier New" w:hAnsi="Courier New"/>
          <w:b w:val="0"/>
          <w:i w:val="0"/>
          <w:color w:val="000000"/>
          <w:sz w:val="25"/>
        </w:rPr>
        <w:t>reports/figures/roc_curves_all.png</w:t>
      </w:r>
      <w:r>
        <w:rPr>
          <w:rFonts w:ascii="Times New Roman" w:hAnsi="Times New Roman"/>
          <w:b w:val="0"/>
          <w:i w:val="0"/>
          <w:color w:val="000000"/>
          <w:sz w:val="26"/>
        </w:rPr>
        <w:t xml:space="preserve"> và </w:t>
      </w:r>
      <w:r>
        <w:rPr>
          <w:rFonts w:ascii="Courier New" w:hAnsi="Courier New"/>
          <w:b w:val="0"/>
          <w:i w:val="0"/>
          <w:color w:val="000000"/>
          <w:sz w:val="25"/>
        </w:rPr>
        <w:t>reports/figures/pr_curves_all.png</w:t>
      </w:r>
      <w:r>
        <w:rPr>
          <w:rFonts w:ascii="Times New Roman" w:hAnsi="Times New Roman"/>
          <w:b w:val="0"/>
          <w:i w:val="0"/>
          <w:color w:val="000000"/>
          <w:sz w:val="26"/>
        </w:rPr>
        <w:t>, bảng so sánh tổng hợp và đường ROC, Precision–Recall của bước đánh giá chéo.</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Hoàng Cao Sơn và Nguyễn Duy Khang, </w:t>
      </w:r>
      <w:r>
        <w:rPr>
          <w:rFonts w:ascii="Courier New" w:hAnsi="Courier New"/>
          <w:b w:val="0"/>
          <w:i w:val="0"/>
          <w:color w:val="000000"/>
          <w:sz w:val="25"/>
        </w:rPr>
        <w:t>notebooks/06_evaluation_comparison.ipynb</w:t>
      </w:r>
      <w:r>
        <w:rPr>
          <w:rFonts w:ascii="Times New Roman" w:hAnsi="Times New Roman"/>
          <w:b w:val="0"/>
          <w:i w:val="0"/>
          <w:color w:val="000000"/>
          <w:sz w:val="26"/>
        </w:rPr>
        <w:t>, notebook đánh giá và so sánh chéo các mô hình.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i w:val="0"/>
          <w:color w:val="000000"/>
          <w:sz w:val="26"/>
        </w:rPr>
        <w:t>Tài liệu tham khảo bên ngoài</w:t>
      </w:r>
    </w:p>
    <w:p>
      <w:pPr>
        <w:spacing w:before="40" w:after="60" w:line="276" w:lineRule="auto"/>
        <w:ind w:left="454" w:hanging="454"/>
        <w:jc w:val="left"/>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20">
        <w:r>
          <w:rPr>
            <w:rFonts w:ascii="Times New Roman" w:hAnsi="Times New Roman"/>
            <w:sz w:val="23"/>
            <w:color w:val="000000"/>
            <w:u w:val="single"/>
          </w:rPr>
          <w:t xml:space="preserve">https://doi.org/10.1016/j.jnca.2016.04.007.</w:t>
        </w:r>
      </w:hyperlink>
    </w:p>
    <w:p>
      <w:pPr>
        <w:spacing w:before="40" w:after="60" w:line="276" w:lineRule="auto"/>
        <w:ind w:left="454" w:hanging="454"/>
        <w:jc w:val="left"/>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21">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left"/>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2">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left"/>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3">
        <w:r>
          <w:rPr>
            <w:rFonts w:ascii="Times New Roman" w:hAnsi="Times New Roman"/>
            <w:sz w:val="23"/>
            <w:color w:val="000000"/>
            <w:u w:val="single"/>
          </w:rPr>
          <w:t xml:space="preserve">https://doi.org/10.1613/jair.953.</w:t>
        </w:r>
      </w:hyperlink>
    </w:p>
    <w:p>
      <w:pPr>
        <w:spacing w:before="40" w:after="60" w:line="276" w:lineRule="auto"/>
        <w:ind w:left="454" w:hanging="454"/>
        <w:jc w:val="left"/>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4">
        <w:r>
          <w:rPr>
            <w:rFonts w:ascii="Times New Roman" w:hAnsi="Times New Roman"/>
            <w:sz w:val="23"/>
            <w:color w:val="000000"/>
            <w:u w:val="single"/>
          </w:rPr>
          <w:t xml:space="preserve">https://doi.org/10.1109/IJCNN.2008.4633969.</w:t>
        </w:r>
      </w:hyperlink>
    </w:p>
    <w:p>
      <w:pPr>
        <w:spacing w:before="40" w:after="60" w:line="276" w:lineRule="auto"/>
        <w:ind w:left="454" w:hanging="454"/>
        <w:jc w:val="left"/>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5">
        <w:r>
          <w:rPr>
            <w:rFonts w:ascii="Times New Roman" w:hAnsi="Times New Roman"/>
            <w:sz w:val="23"/>
            <w:color w:val="000000"/>
            <w:u w:val="single"/>
          </w:rPr>
          <w:t xml:space="preserve">https://doi.org/10.1023/A:1010933404324.</w:t>
        </w:r>
      </w:hyperlink>
    </w:p>
    <w:p>
      <w:pPr>
        <w:spacing w:before="40" w:after="60" w:line="276" w:lineRule="auto"/>
        <w:ind w:left="454" w:hanging="454"/>
        <w:jc w:val="left"/>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6">
        <w:r>
          <w:rPr>
            <w:rFonts w:ascii="Times New Roman" w:hAnsi="Times New Roman"/>
            <w:sz w:val="23"/>
            <w:color w:val="000000"/>
            <w:u w:val="single"/>
          </w:rPr>
          <w:t xml:space="preserve">https://doi.org/10.1145/2939672.2939785.</w:t>
        </w:r>
      </w:hyperlink>
    </w:p>
    <w:p>
      <w:pPr>
        <w:spacing w:before="40" w:after="60" w:line="276" w:lineRule="auto"/>
        <w:ind w:left="454" w:hanging="454"/>
        <w:jc w:val="left"/>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7">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hyperlink" Target="https://doi.org/10.1016/j.jnca.2016.04.007." TargetMode="External"/><Relationship Id="rId21" Type="http://schemas.openxmlformats.org/officeDocument/2006/relationships/hyperlink" Target="https://www.msc-les.org/proceedings/emss/2016/EMSS2016_249.pdf." TargetMode="External"/><Relationship Id="rId22" Type="http://schemas.openxmlformats.org/officeDocument/2006/relationships/hyperlink" Target="https://www.kaggle.com/datasets/ealaxi/paysim1." TargetMode="External"/><Relationship Id="rId23" Type="http://schemas.openxmlformats.org/officeDocument/2006/relationships/hyperlink" Target="https://doi.org/10.1613/jair.953." TargetMode="External"/><Relationship Id="rId24" Type="http://schemas.openxmlformats.org/officeDocument/2006/relationships/hyperlink" Target="https://doi.org/10.1109/IJCNN.2008.4633969." TargetMode="External"/><Relationship Id="rId25" Type="http://schemas.openxmlformats.org/officeDocument/2006/relationships/hyperlink" Target="https://doi.org/10.1023/A:1010933404324." TargetMode="External"/><Relationship Id="rId26" Type="http://schemas.openxmlformats.org/officeDocument/2006/relationships/hyperlink" Target="https://doi.org/10.1145/2939672.2939785." TargetMode="External"/><Relationship Id="rId27"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