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spacing w:after="60" w:before="60"/>
        <w:jc w:val="both"/>
      </w:pPr>
      <w:r>
        <w:rPr>
          <w:rFonts w:ascii="Arial" w:cs="Arial" w:eastAsia="Arial" w:hAnsi="Arial"/>
          <w:color w:val="1A1A1A"/>
          <w:sz w:val="20"/>
          <w:szCs w:val="20"/>
        </w:rPr>
        <w:t xml:space="preserve">All prices displayed on the platform are INCLUSIVE of GST. The customer sees and pays one final price. GST is not added on top at checkout — it is already embedded in the displayed price. GST breakup (CGST+SGST or IGST) is shown on the invoice only, not on product pages or cart.</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Search synonym and abbreviation mapping: common abbreviations and alternate terms must resolve to the correct category. Minimum required mappings: TFT → Monitors, LCD → Monitors, Display → Monitors, PC → Desktops (all desktops), Computer → Desktops (all desktops), Desktop Computer → Desktops (all desktops), Tower → Desktops filtered to Tower form factor, AIO → Desktops filtered to All-in-One form factor only (not all desktops), All-in-One → Desktops filtered to All-in-One form factor only, Notebook → Laptops, MacBook → Laptops filtered to Apple brand, Server Rack → Servers, Rack Server → Servers filtered to Rack form factor, Workstation PC → Workstations. Synonym map is maintained in MasterData collection under table name search_synonyms — admin can add new mappings without a code change.</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full-width poster slider (carousel). Auto-plays every 4 seconds. Pauses on hover, resumes on mouse leave. Manual arrow or dot interaction resets the 4-second timer.</w:t>
      </w:r>
    </w:p>
    <w:p>
      <w:pPr>
        <w:pStyle w:val="ListParagraph"/>
        <w:numPr>
          <w:ilvl w:val="0"/>
          <w:numId w:val="2"/>
        </w:numPr>
        <w:spacing w:after="40" w:before="40"/>
      </w:pPr>
      <w:r>
        <w:rPr>
          <w:rFonts w:ascii="Arial" w:cs="Arial" w:eastAsia="Arial" w:hAnsi="Arial"/>
          <w:color w:val="1A1A1A"/>
          <w:sz w:val="20"/>
          <w:szCs w:val="20"/>
        </w:rPr>
        <w:t xml:space="preserve">Prev/next arrow buttons on desktop sides. Hidden on mobile — swipe gesture used instead.</w:t>
      </w:r>
    </w:p>
    <w:p>
      <w:pPr>
        <w:pStyle w:val="ListParagraph"/>
        <w:numPr>
          <w:ilvl w:val="0"/>
          <w:numId w:val="2"/>
        </w:numPr>
        <w:spacing w:after="40" w:before="40"/>
      </w:pPr>
      <w:r>
        <w:rPr>
          <w:rFonts w:ascii="Arial" w:cs="Arial" w:eastAsia="Arial" w:hAnsi="Arial"/>
          <w:color w:val="1A1A1A"/>
          <w:sz w:val="20"/>
          <w:szCs w:val="20"/>
        </w:rPr>
        <w:t xml:space="preserve">Dot indicators at bottom, one per slide, active dot in green. Clicking a dot jumps to that slide.</w:t>
      </w:r>
    </w:p>
    <w:p>
      <w:pPr>
        <w:pStyle w:val="ListParagraph"/>
        <w:numPr>
          <w:ilvl w:val="0"/>
          <w:numId w:val="2"/>
        </w:numPr>
        <w:spacing w:after="40" w:before="40"/>
      </w:pPr>
      <w:r>
        <w:rPr>
          <w:rFonts w:ascii="Arial" w:cs="Arial" w:eastAsia="Arial" w:hAnsi="Arial"/>
          <w:color w:val="1A1A1A"/>
          <w:sz w:val="20"/>
          <w:szCs w:val="20"/>
        </w:rPr>
        <w:t xml:space="preserve">Each slide contains: background poster image, headline text, subtext line, one CTA button. Text and button positioned bottom-left on desktop, centered on mobile.</w:t>
      </w:r>
    </w:p>
    <w:p>
      <w:pPr>
        <w:pStyle w:val="ListParagraph"/>
        <w:numPr>
          <w:ilvl w:val="0"/>
          <w:numId w:val="2"/>
        </w:numPr>
        <w:spacing w:after="40" w:before="40"/>
      </w:pPr>
      <w:r>
        <w:rPr>
          <w:rFonts w:ascii="Arial" w:cs="Arial" w:eastAsia="Arial" w:hAnsi="Arial"/>
          <w:color w:val="1A1A1A"/>
          <w:sz w:val="20"/>
          <w:szCs w:val="20"/>
        </w:rPr>
        <w:t xml:space="preserve">Full banner clickability: the entire banner slide is clickable as a single unit — not just the CTA button. Clicking anywhere on the banner navigates to the CTA link. Cursor pointer on hover across the full banner area.</w:t>
      </w:r>
    </w:p>
    <w:p>
      <w:pPr>
        <w:pStyle w:val="ListParagraph"/>
        <w:numPr>
          <w:ilvl w:val="0"/>
          <w:numId w:val="2"/>
        </w:numPr>
        <w:spacing w:after="40" w:before="40"/>
      </w:pPr>
      <w:r>
        <w:rPr>
          <w:rFonts w:ascii="Arial" w:cs="Arial" w:eastAsia="Arial" w:hAnsi="Arial"/>
          <w:color w:val="1A1A1A"/>
          <w:sz w:val="20"/>
          <w:szCs w:val="20"/>
        </w:rPr>
        <w:t xml:space="preserve">Admin control over banner clickability: each banner in the admin panel has a Clickable toggle (yes/no). When set to No, the banner is display-only — no navigation on click, cursor default. CTA button remains visible but is also disabled. Useful for purely decorative or informational banners. Default is Yes (clickable).</w:t>
      </w:r>
    </w:p>
    <w:p>
      <w:pPr>
        <w:pStyle w:val="ListParagraph"/>
        <w:numPr>
          <w:ilvl w:val="0"/>
          <w:numId w:val="2"/>
        </w:numPr>
        <w:spacing w:after="40" w:before="40"/>
      </w:pPr>
      <w:r>
        <w:rPr>
          <w:rFonts w:ascii="Arial" w:cs="Arial" w:eastAsia="Arial" w:hAnsi="Arial"/>
          <w:color w:val="1A1A1A"/>
          <w:sz w:val="20"/>
          <w:szCs w:val="20"/>
        </w:rPr>
        <w:t xml:space="preserve">Trust badges strip (Tested &amp; Certified | 7-Day Returns | GST Invoice | PAN India Delivery) remains below the slider as green pill chips — not part of the slides.</w:t>
      </w:r>
    </w:p>
    <w:p>
      <w:pPr>
        <w:pStyle w:val="ListParagraph"/>
        <w:numPr>
          <w:ilvl w:val="0"/>
          <w:numId w:val="2"/>
        </w:numPr>
        <w:spacing w:after="40" w:before="40"/>
      </w:pPr>
      <w:r>
        <w:rPr>
          <w:rFonts w:ascii="Arial" w:cs="Arial" w:eastAsia="Arial" w:hAnsi="Arial"/>
          <w:color w:val="1A1A1A"/>
          <w:sz w:val="20"/>
          <w:szCs w:val="20"/>
        </w:rPr>
        <w:t xml:space="preserve">Slider content is managed from the admin panel Hero Banner Management section (Section 6.1) — no developer required to change posters or update text.</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full two-column table showing — Processor, Processor Generation, RAM Type, Display Size, Touchscreen (Yes/No), Resolution, OS, Battery, Ports, Weight, Warranty Period, Data Wipe Certified.</w:t>
      </w:r>
    </w:p>
    <w:p>
      <w:pPr>
        <w:pStyle w:val="ListParagraph"/>
        <w:numPr>
          <w:ilvl w:val="0"/>
          <w:numId w:val="2"/>
        </w:numPr>
        <w:spacing w:after="40" w:before="40"/>
      </w:pPr>
      <w:r>
        <w:rPr>
          <w:rFonts w:ascii="Arial" w:cs="Arial" w:eastAsia="Arial" w:hAnsi="Arial"/>
          <w:color w:val="1A1A1A"/>
          <w:sz w:val="20"/>
          <w:szCs w:val="20"/>
        </w:rPr>
        <w:t xml:space="preserve">PDP price display rule: customer sees a single total price only — GST inclusive. Variant dropdowns carry no per-tier price hints (no +Rs.1,400 labels). The base + RAM + SSD breakdown is internal and never shown to the buyer. Selecting a variant updates the single displayed total instantly.</w:t>
      </w:r>
    </w:p>
    <w:p>
      <w:pPr>
        <w:pStyle w:val="ListParagraph"/>
        <w:numPr>
          <w:ilvl w:val="0"/>
          <w:numId w:val="2"/>
        </w:numPr>
        <w:spacing w:after="40" w:before="40"/>
      </w:pPr>
      <w:r>
        <w:rPr>
          <w:rFonts w:ascii="Arial" w:cs="Arial" w:eastAsia="Arial" w:hAnsi="Arial"/>
          <w:color w:val="1A1A1A"/>
          <w:sz w:val="20"/>
          <w:szCs w:val="20"/>
        </w:rPr>
        <w:t xml:space="preserve">Device Condition Panel: a View Inspection Report button with shield icon appears on the PDP above Add to Cart. Clicking slides a panel in from the right side (Back Market style) covering 35% screen width with semi-transparent backdrop. X button closes it, ESC closes it, clicking outside closes it.</w:t>
      </w:r>
    </w:p>
    <w:p>
      <w:pPr>
        <w:pStyle w:val="ListParagraph"/>
        <w:numPr>
          <w:ilvl w:val="0"/>
          <w:numId w:val="2"/>
        </w:numPr>
        <w:spacing w:after="40" w:before="40"/>
      </w:pPr>
      <w:r>
        <w:rPr>
          <w:rFonts w:ascii="Arial" w:cs="Arial" w:eastAsia="Arial" w:hAnsi="Arial"/>
          <w:color w:val="1A1A1A"/>
          <w:sz w:val="20"/>
          <w:szCs w:val="20"/>
        </w:rPr>
        <w:t xml:space="preserve">Inspection panel: header shows product name and Professionally Inspected badge. Accordion list of components — each row has icon, component name, chevron. Expanding shows honest condition description. Panel scrollable.</w:t>
      </w:r>
    </w:p>
    <w:p>
      <w:pPr>
        <w:pStyle w:val="ListParagraph"/>
        <w:numPr>
          <w:ilvl w:val="0"/>
          <w:numId w:val="2"/>
        </w:numPr>
        <w:spacing w:after="40" w:before="40"/>
      </w:pPr>
      <w:r>
        <w:rPr>
          <w:rFonts w:ascii="Arial" w:cs="Arial" w:eastAsia="Arial" w:hAnsi="Arial"/>
          <w:color w:val="1A1A1A"/>
          <w:sz w:val="20"/>
          <w:szCs w:val="20"/>
        </w:rPr>
        <w:t xml:space="preserve">Laptop and desktop components: Display (pixel check, brightness, screen scratches), Keyboard (all keys tested), Trackpad (click and gesture), Battery Health (tested, percentage if available), Ports (all USB/HDMI/audio functional), Speakers (audio tested), Webcam (functional), Hinges (smooth, no wobble), Body/Chassis (cosmetic scratches honest description), Storage SSD (read/write verified), RAM (tested at speed), Cooling/Fan (no noise, temp normal), Data Wipe (certified, standard shown), BIOS/Firmware (updated, no lock).</w:t>
      </w:r>
    </w:p>
    <w:p>
      <w:pPr>
        <w:pStyle w:val="ListParagraph"/>
        <w:numPr>
          <w:ilvl w:val="0"/>
          <w:numId w:val="2"/>
        </w:numPr>
        <w:spacing w:after="40" w:before="40"/>
      </w:pPr>
      <w:r>
        <w:rPr>
          <w:rFonts w:ascii="Arial" w:cs="Arial" w:eastAsia="Arial" w:hAnsi="Arial"/>
          <w:color w:val="1A1A1A"/>
          <w:sz w:val="20"/>
          <w:szCs w:val="20"/>
        </w:rPr>
        <w:t xml:space="preserve">Monitor components: Display Panel (dead pixel check, brightness uniformity), Ports (all inputs functional), Stand/Base (stable, tilt working), Controls (OSD buttons functional), Body (scratches, cracks).</w:t>
      </w:r>
    </w:p>
    <w:p>
      <w:pPr>
        <w:pStyle w:val="ListParagraph"/>
        <w:numPr>
          <w:ilvl w:val="0"/>
          <w:numId w:val="2"/>
        </w:numPr>
        <w:spacing w:after="40" w:before="40"/>
      </w:pPr>
      <w:r>
        <w:rPr>
          <w:rFonts w:ascii="Arial" w:cs="Arial" w:eastAsia="Arial" w:hAnsi="Arial"/>
          <w:color w:val="1A1A1A"/>
          <w:sz w:val="20"/>
          <w:szCs w:val="20"/>
        </w:rPr>
        <w:t xml:space="preserve">Condition set once per listing by admin — same for all units of that model. Default honest templates provided: Body: Minor scratches may be visible on the body — normal for refurbished. Screen: Minimal to no scratches visible under normal use. Battery: Tested and functional, health percentage shown where available. Admin can edit per listing. Component marked Not Applicable where irrelevant (e.g. Webcam N/A for desktop towers).</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Product description: rich text block below the spec table, minimum 100 characters, required field.</w:t>
      </w:r>
    </w:p>
    <w:p>
      <w:pPr>
        <w:pStyle w:val="ListParagraph"/>
        <w:numPr>
          <w:ilvl w:val="0"/>
          <w:numId w:val="2"/>
        </w:numPr>
        <w:spacing w:after="40" w:before="40"/>
      </w:pPr>
      <w:r>
        <w:rPr>
          <w:rFonts w:ascii="Arial" w:cs="Arial" w:eastAsia="Arial" w:hAnsi="Arial"/>
          <w:color w:val="1A1A1A"/>
          <w:sz w:val="20"/>
          <w:szCs w:val="20"/>
        </w:rPr>
        <w:t xml:space="preserve">Customer Reviews section — between description and recommendation carousels:</w:t>
      </w:r>
    </w:p>
    <w:p>
      <w:pPr>
        <w:pStyle w:val="ListParagraph"/>
        <w:numPr>
          <w:ilvl w:val="0"/>
          <w:numId w:val="2"/>
        </w:numPr>
        <w:spacing w:after="40" w:before="40"/>
      </w:pPr>
      <w:r>
        <w:rPr>
          <w:rFonts w:ascii="Arial" w:cs="Arial" w:eastAsia="Arial" w:hAnsi="Arial"/>
          <w:color w:val="1A1A1A"/>
          <w:sz w:val="20"/>
          <w:szCs w:val="20"/>
        </w:rPr>
        <w:t xml:space="preserve">Average rating shown as number + star visual with rating breakdown bar per star level (5-star down to 1-star with counts and percentage bars).</w:t>
      </w:r>
    </w:p>
    <w:p>
      <w:pPr>
        <w:pStyle w:val="ListParagraph"/>
        <w:numPr>
          <w:ilvl w:val="0"/>
          <w:numId w:val="2"/>
        </w:numPr>
        <w:spacing w:after="40" w:before="40"/>
      </w:pPr>
      <w:r>
        <w:rPr>
          <w:rFonts w:ascii="Arial" w:cs="Arial" w:eastAsia="Arial" w:hAnsi="Arial"/>
          <w:color w:val="1A1A1A"/>
          <w:sz w:val="20"/>
          <w:szCs w:val="20"/>
        </w:rPr>
        <w:t xml:space="preserve">List of approved reviews below: reviewer first name + last initial, star rating (stars visual), date, Verified Purchase badge, review text.</w:t>
      </w:r>
    </w:p>
    <w:p>
      <w:pPr>
        <w:pStyle w:val="ListParagraph"/>
        <w:numPr>
          <w:ilvl w:val="0"/>
          <w:numId w:val="2"/>
        </w:numPr>
        <w:spacing w:after="40" w:before="40"/>
      </w:pPr>
      <w:r>
        <w:rPr>
          <w:rFonts w:ascii="Arial" w:cs="Arial" w:eastAsia="Arial" w:hAnsi="Arial"/>
          <w:color w:val="1A1A1A"/>
          <w:sz w:val="20"/>
          <w:szCs w:val="20"/>
        </w:rPr>
        <w:t xml:space="preserve">Empty state when no reviews: Be the first to review this product.</w:t>
      </w:r>
    </w:p>
    <w:p>
      <w:pPr>
        <w:pStyle w:val="ListParagraph"/>
        <w:numPr>
          <w:ilvl w:val="0"/>
          <w:numId w:val="2"/>
        </w:numPr>
        <w:spacing w:after="40" w:before="40"/>
      </w:pPr>
      <w:r>
        <w:rPr>
          <w:rFonts w:ascii="Arial" w:cs="Arial" w:eastAsia="Arial" w:hAnsi="Arial"/>
          <w:color w:val="1A1A1A"/>
          <w:sz w:val="20"/>
          <w:szCs w:val="20"/>
        </w:rPr>
        <w:t xml:space="preserve">Write a Review button is intentionally absent from PDP — it appears only in the user account order history for delivered orders, ensuring only verified purchasers can submit. Consistent with admin review moderation in Section 6.7.</w:t>
      </w:r>
    </w:p>
    <w:p>
      <w:pPr>
        <w:pStyle w:val="ListParagraph"/>
        <w:numPr>
          <w:ilvl w:val="0"/>
          <w:numId w:val="2"/>
        </w:numPr>
        <w:spacing w:after="40" w:before="40"/>
      </w:pPr>
      <w:r>
        <w:rPr>
          <w:rFonts w:ascii="Arial" w:cs="Arial" w:eastAsia="Arial" w:hAnsi="Arial"/>
          <w:color w:val="1A1A1A"/>
          <w:sz w:val="20"/>
          <w:szCs w:val="20"/>
        </w:rPr>
        <w:t xml:space="preserve">Related products carousel below reviews: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carousel below that: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pStyle w:val="ListParagraph"/>
        <w:numPr>
          <w:ilvl w:val="0"/>
          <w:numId w:val="2"/>
        </w:numPr>
        <w:spacing w:after="40" w:before="40"/>
      </w:pPr>
      <w:r>
        <w:rPr>
          <w:rFonts w:ascii="Arial" w:cs="Arial" w:eastAsia="Arial" w:hAnsi="Arial"/>
          <w:color w:val="1A1A1A"/>
          <w:sz w:val="20"/>
          <w:szCs w:val="20"/>
        </w:rPr>
        <w:t xml:space="preserve">Login enforcement at checkout: if a user clicks Buy Now or Proceed to Checkout without being logged in, they are redirected to /login with a return URL parameter (e.g. /login?redirect=/checkout). After successful login they are automatically redirected back to checkout. Cart contents are preserved during this redirect flow via localStorage.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Account tabs: My Orders, Coupons, Addresses, Profile. Wishlist is a separate page at /wishlist accessible without login — not a tab inside account.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available to ALL users including guests — no login required at any point. Dedicated page at /wishlist showing all saved products as a grid with remove button per card. Empty state: Your wishlist is empty with Browse Products button. Guest wishlist stored in localStorage and persists across sessions indefinitely. Wishlist count badge on navbar icon visible for all users.</w:t>
      </w:r>
    </w:p>
    <w:p>
      <w:pPr>
        <w:pStyle w:val="ListParagraph"/>
        <w:numPr>
          <w:ilvl w:val="0"/>
          <w:numId w:val="2"/>
        </w:numPr>
        <w:spacing w:after="40" w:before="40"/>
      </w:pPr>
      <w:r>
        <w:rPr>
          <w:rFonts w:ascii="Arial" w:cs="Arial" w:eastAsia="Arial" w:hAnsi="Arial"/>
          <w:color w:val="1A1A1A"/>
          <w:sz w:val="20"/>
          <w:szCs w:val="20"/>
        </w:rPr>
        <w:t xml:space="preserve">Wishlist merge on login — REQUIRES BACKEND (not implemented in frontend): when a guest user logs in, their localStorage wishlist must be sent to the server and merged with their stored server-side wishlist. Duplicates removed. localStorage cleared after merge. From login onwards wishlist is served from the database and syncs across all devices.</w:t>
      </w:r>
    </w:p>
    <w:p>
      <w:pPr>
        <w:pStyle w:val="ListParagraph"/>
        <w:numPr>
          <w:ilvl w:val="0"/>
          <w:numId w:val="2"/>
        </w:numPr>
        <w:spacing w:after="40" w:before="40"/>
      </w:pPr>
      <w:r>
        <w:rPr>
          <w:rFonts w:ascii="Arial" w:cs="Arial" w:eastAsia="Arial" w:hAnsi="Arial"/>
          <w:color w:val="1A1A1A"/>
          <w:sz w:val="20"/>
          <w:szCs w:val="20"/>
        </w:rPr>
        <w:t xml:space="preserve">Frontend stub only: current implementation preserves the guest localStorage list on login — this produces correct visible results on a single device but is NOT cross-device sync. A user who saves items on their phone will not see them when they log in on their laptop until the backend wishlist API is built. This must be completed in the backend phase — do not mark cross-device wishlist as done until the API exists.</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All prices displayed in cart are GST-inclusive — no GST is added at checkout. Cart order summary shows: Subtotal (GST incl.), Delivery charge, Coupon discount, and Total only. No GST breakup in cart.</w:t>
      </w:r>
    </w:p>
    <w:p>
      <w:pPr>
        <w:pStyle w:val="ListParagraph"/>
        <w:numPr>
          <w:ilvl w:val="0"/>
          <w:numId w:val="2"/>
        </w:numPr>
        <w:spacing w:after="40" w:before="40"/>
      </w:pPr>
      <w:r>
        <w:rPr>
          <w:rFonts w:ascii="Arial" w:cs="Arial" w:eastAsia="Arial" w:hAnsi="Arial"/>
          <w:color w:val="1A1A1A"/>
          <w:sz w:val="20"/>
          <w:szCs w:val="20"/>
        </w:rPr>
        <w:t xml:space="preserve">GST breakup is shown on the checkout page order summary — displayed as a collapsible section after the coupon discount: Subtotal, Delivery, Coupon Discount, Amount after Discount, then GST Breakup (CGST X% + SGST X% or IGST X% — calculated on amount after discount), then Grand Total. This gives the buyer full transparency before payment without cluttering the cart.</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strip below the cart items.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4.7 Checkout Page</w:t>
      </w:r>
    </w:p>
    <w:p>
      <w:pPr>
        <w:spacing w:after="60" w:before="60"/>
        <w:jc w:val="both"/>
      </w:pPr>
      <w:r>
        <w:rPr>
          <w:rFonts w:ascii="Arial" w:cs="Arial" w:eastAsia="Arial" w:hAnsi="Arial"/>
          <w:color w:val="1A1A1A"/>
          <w:sz w:val="20"/>
          <w:szCs w:val="20"/>
        </w:rPr>
        <w:t xml:space="preserve">Route: /checkout. Handles delivery address, payment method selection, GST breakup, and order placement.</w:t>
      </w:r>
    </w:p>
    <w:p>
      <w:pPr>
        <w:spacing w:after="80" w:before="80"/>
      </w:pPr>
      <w:r>
        <w:t xml:space="preserve"/>
      </w:r>
    </w:p>
    <w:p>
      <w:pPr>
        <w:spacing w:after="60" w:before="200"/>
      </w:pPr>
      <w:r>
        <w:rPr>
          <w:rFonts w:ascii="Arial" w:cs="Arial" w:eastAsia="Arial" w:hAnsi="Arial"/>
          <w:b/>
          <w:bCs/>
          <w:color w:val="1A1A1A"/>
          <w:sz w:val="22"/>
          <w:szCs w:val="22"/>
        </w:rPr>
        <w:t xml:space="preserve">Delivery Address</w:t>
      </w:r>
    </w:p>
    <w:p>
      <w:pPr>
        <w:pStyle w:val="ListParagraph"/>
        <w:numPr>
          <w:ilvl w:val="0"/>
          <w:numId w:val="2"/>
        </w:numPr>
        <w:spacing w:after="40" w:before="40"/>
      </w:pPr>
      <w:r>
        <w:rPr>
          <w:rFonts w:ascii="Arial" w:cs="Arial" w:eastAsia="Arial" w:hAnsi="Arial"/>
          <w:color w:val="1A1A1A"/>
          <w:sz w:val="20"/>
          <w:szCs w:val="20"/>
        </w:rPr>
        <w:t xml:space="preserve">Fields: Full Name, Phone, Email, Address Line 1, Address Line 2 (optional), City, State (dropdown all Indian states), Pincode.</w:t>
      </w:r>
    </w:p>
    <w:p>
      <w:pPr>
        <w:pStyle w:val="ListParagraph"/>
        <w:numPr>
          <w:ilvl w:val="0"/>
          <w:numId w:val="2"/>
        </w:numPr>
        <w:spacing w:after="40" w:before="40"/>
      </w:pPr>
      <w:r>
        <w:rPr>
          <w:rFonts w:ascii="Arial" w:cs="Arial" w:eastAsia="Arial" w:hAnsi="Arial"/>
          <w:color w:val="1A1A1A"/>
          <w:sz w:val="20"/>
          <w:szCs w:val="20"/>
        </w:rPr>
        <w:t xml:space="preserve">If user has saved addresses, shown as selectable cards first with Add New Address option below.</w:t>
      </w:r>
    </w:p>
    <w:p>
      <w:pPr>
        <w:pStyle w:val="ListParagraph"/>
        <w:numPr>
          <w:ilvl w:val="0"/>
          <w:numId w:val="2"/>
        </w:numPr>
        <w:spacing w:after="40" w:before="40"/>
      </w:pPr>
      <w:r>
        <w:rPr>
          <w:rFonts w:ascii="Arial" w:cs="Arial" w:eastAsia="Arial" w:hAnsi="Arial"/>
          <w:color w:val="1A1A1A"/>
          <w:sz w:val="20"/>
          <w:szCs w:val="20"/>
        </w:rPr>
        <w:t xml:space="preserve">Save address checkbox for new addresses.</w:t>
      </w:r>
    </w:p>
    <w:p>
      <w:pPr>
        <w:spacing w:after="80" w:before="80"/>
      </w:pPr>
      <w:r>
        <w:t xml:space="preserve"/>
      </w:r>
    </w:p>
    <w:p>
      <w:pPr>
        <w:spacing w:after="60" w:before="200"/>
      </w:pPr>
      <w:r>
        <w:rPr>
          <w:rFonts w:ascii="Arial" w:cs="Arial" w:eastAsia="Arial" w:hAnsi="Arial"/>
          <w:b/>
          <w:bCs/>
          <w:color w:val="1A1A1A"/>
          <w:sz w:val="22"/>
          <w:szCs w:val="22"/>
        </w:rPr>
        <w:t xml:space="preserve">Payment Methods</w:t>
      </w:r>
    </w:p>
    <w:p>
      <w:pPr>
        <w:pStyle w:val="ListParagraph"/>
        <w:numPr>
          <w:ilvl w:val="0"/>
          <w:numId w:val="2"/>
        </w:numPr>
        <w:spacing w:after="40" w:before="40"/>
      </w:pPr>
      <w:r>
        <w:rPr>
          <w:rFonts w:ascii="Arial" w:cs="Arial" w:eastAsia="Arial" w:hAnsi="Arial"/>
          <w:color w:val="1A1A1A"/>
          <w:sz w:val="20"/>
          <w:szCs w:val="20"/>
        </w:rPr>
        <w:t xml:space="preserve">UPI — UPI ID input field when selected.</w:t>
      </w:r>
    </w:p>
    <w:p>
      <w:pPr>
        <w:pStyle w:val="ListParagraph"/>
        <w:numPr>
          <w:ilvl w:val="0"/>
          <w:numId w:val="2"/>
        </w:numPr>
        <w:spacing w:after="40" w:before="40"/>
      </w:pPr>
      <w:r>
        <w:rPr>
          <w:rFonts w:ascii="Arial" w:cs="Arial" w:eastAsia="Arial" w:hAnsi="Arial"/>
          <w:color w:val="1A1A1A"/>
          <w:sz w:val="20"/>
          <w:szCs w:val="20"/>
        </w:rPr>
        <w:t xml:space="preserve">Credit / Debit Card — card number, expiry, CVV fields when selected.</w:t>
      </w:r>
    </w:p>
    <w:p>
      <w:pPr>
        <w:pStyle w:val="ListParagraph"/>
        <w:numPr>
          <w:ilvl w:val="0"/>
          <w:numId w:val="2"/>
        </w:numPr>
        <w:spacing w:after="40" w:before="40"/>
      </w:pPr>
      <w:r>
        <w:rPr>
          <w:rFonts w:ascii="Arial" w:cs="Arial" w:eastAsia="Arial" w:hAnsi="Arial"/>
          <w:color w:val="1A1A1A"/>
          <w:sz w:val="20"/>
          <w:szCs w:val="20"/>
        </w:rPr>
        <w:t xml:space="preserve">Net Banking — bank dropdown when selected.</w:t>
      </w:r>
    </w:p>
    <w:p>
      <w:pPr>
        <w:pStyle w:val="ListParagraph"/>
        <w:numPr>
          <w:ilvl w:val="0"/>
          <w:numId w:val="2"/>
        </w:numPr>
        <w:spacing w:after="40" w:before="40"/>
      </w:pPr>
      <w:r>
        <w:rPr>
          <w:rFonts w:ascii="Arial" w:cs="Arial" w:eastAsia="Arial" w:hAnsi="Arial"/>
          <w:color w:val="1A1A1A"/>
          <w:sz w:val="20"/>
          <w:szCs w:val="20"/>
        </w:rPr>
        <w:t xml:space="preserve">Wallets — Paytm, PhonePe, Amazon Pay options.</w:t>
      </w:r>
    </w:p>
    <w:p>
      <w:pPr>
        <w:pStyle w:val="ListParagraph"/>
        <w:numPr>
          <w:ilvl w:val="0"/>
          <w:numId w:val="2"/>
        </w:numPr>
        <w:spacing w:after="40" w:before="40"/>
      </w:pPr>
      <w:r>
        <w:rPr>
          <w:rFonts w:ascii="Arial" w:cs="Arial" w:eastAsia="Arial" w:hAnsi="Arial"/>
          <w:color w:val="1A1A1A"/>
          <w:sz w:val="20"/>
          <w:szCs w:val="20"/>
        </w:rPr>
        <w:t xml:space="preserve">Cash on Delivery — see COD rules below.</w:t>
      </w:r>
    </w:p>
    <w:p>
      <w:pPr>
        <w:pStyle w:val="ListParagraph"/>
        <w:numPr>
          <w:ilvl w:val="0"/>
          <w:numId w:val="2"/>
        </w:numPr>
        <w:spacing w:after="40" w:before="40"/>
      </w:pPr>
      <w:r>
        <w:rPr>
          <w:rFonts w:ascii="Arial" w:cs="Arial" w:eastAsia="Arial" w:hAnsi="Arial"/>
          <w:color w:val="1A1A1A"/>
          <w:sz w:val="20"/>
          <w:szCs w:val="20"/>
        </w:rPr>
        <w:t xml:space="preserve">No payment gateway branding or logos anywhere on checkout. Gateway will be integrated in backend phase.</w:t>
      </w:r>
    </w:p>
    <w:p>
      <w:pPr>
        <w:spacing w:after="80" w:before="80"/>
      </w:pPr>
      <w:r>
        <w:t xml:space="preserve"/>
      </w:r>
    </w:p>
    <w:p>
      <w:pPr>
        <w:spacing w:after="60" w:before="200"/>
      </w:pPr>
      <w:r>
        <w:rPr>
          <w:rFonts w:ascii="Arial" w:cs="Arial" w:eastAsia="Arial" w:hAnsi="Arial"/>
          <w:b/>
          <w:bCs/>
          <w:color w:val="1A1A1A"/>
          <w:sz w:val="22"/>
          <w:szCs w:val="22"/>
        </w:rPr>
        <w:t xml:space="preserve">COD Rules</w:t>
      </w:r>
    </w:p>
    <w:p>
      <w:pPr>
        <w:pStyle w:val="ListParagraph"/>
        <w:numPr>
          <w:ilvl w:val="0"/>
          <w:numId w:val="2"/>
        </w:numPr>
        <w:spacing w:after="40" w:before="40"/>
      </w:pPr>
      <w:r>
        <w:rPr>
          <w:rFonts w:ascii="Arial" w:cs="Arial" w:eastAsia="Arial" w:hAnsi="Arial"/>
          <w:color w:val="1A1A1A"/>
          <w:sz w:val="20"/>
          <w:szCs w:val="20"/>
        </w:rPr>
        <w:t xml:space="preserve">COD is available on all orders up to Rs.29,999.</w:t>
      </w:r>
    </w:p>
    <w:p>
      <w:pPr>
        <w:pStyle w:val="ListParagraph"/>
        <w:numPr>
          <w:ilvl w:val="0"/>
          <w:numId w:val="2"/>
        </w:numPr>
        <w:spacing w:after="40" w:before="40"/>
      </w:pPr>
      <w:r>
        <w:rPr>
          <w:rFonts w:ascii="Arial" w:cs="Arial" w:eastAsia="Arial" w:hAnsi="Arial"/>
          <w:color w:val="1A1A1A"/>
          <w:sz w:val="20"/>
          <w:szCs w:val="20"/>
        </w:rPr>
        <w:t xml:space="preserve">COD option is ALWAYS shown on the checkout page — never hidden. If order total exceeds Rs.29,999, COD option is visible but greyed out and disabled with label: COD available on orders up to Rs.29,999 only.</w:t>
      </w:r>
    </w:p>
    <w:p>
      <w:pPr>
        <w:pStyle w:val="ListParagraph"/>
        <w:numPr>
          <w:ilvl w:val="0"/>
          <w:numId w:val="2"/>
        </w:numPr>
        <w:spacing w:after="40" w:before="40"/>
      </w:pPr>
      <w:r>
        <w:rPr>
          <w:rFonts w:ascii="Arial" w:cs="Arial" w:eastAsia="Arial" w:hAnsi="Arial"/>
          <w:color w:val="1A1A1A"/>
          <w:sz w:val="20"/>
          <w:szCs w:val="20"/>
        </w:rPr>
        <w:t xml:space="preserve">When COD is selected and order is under Rs.29,999: show info box — Pay Rs.500 now to confirm your order. Remaining Rs.X will be collected at delivery by our courier partner.</w:t>
      </w:r>
    </w:p>
    <w:p>
      <w:pPr>
        <w:pStyle w:val="ListParagraph"/>
        <w:numPr>
          <w:ilvl w:val="0"/>
          <w:numId w:val="2"/>
        </w:numPr>
        <w:spacing w:after="40" w:before="40"/>
      </w:pPr>
      <w:r>
        <w:rPr>
          <w:rFonts w:ascii="Arial" w:cs="Arial" w:eastAsia="Arial" w:hAnsi="Arial"/>
          <w:color w:val="1A1A1A"/>
          <w:sz w:val="20"/>
          <w:szCs w:val="20"/>
        </w:rPr>
        <w:t xml:space="preserve">The Rs.500 advance must be paid online via UPI, Card, or Wallet — shown as sub-options below the COD info box when COD is selected.</w:t>
      </w:r>
    </w:p>
    <w:p>
      <w:pPr>
        <w:pStyle w:val="ListParagraph"/>
        <w:numPr>
          <w:ilvl w:val="0"/>
          <w:numId w:val="2"/>
        </w:numPr>
        <w:spacing w:after="40" w:before="40"/>
      </w:pPr>
      <w:r>
        <w:rPr>
          <w:rFonts w:ascii="Arial" w:cs="Arial" w:eastAsia="Arial" w:hAnsi="Arial"/>
          <w:color w:val="1A1A1A"/>
          <w:sz w:val="20"/>
          <w:szCs w:val="20"/>
        </w:rPr>
        <w:t xml:space="preserve">Place Order button text changes to: Pay Rs.500 and Confirm Order when COD is selected.</w:t>
      </w:r>
    </w:p>
    <w:p>
      <w:pPr>
        <w:pStyle w:val="ListParagraph"/>
        <w:numPr>
          <w:ilvl w:val="0"/>
          <w:numId w:val="2"/>
        </w:numPr>
        <w:spacing w:after="40" w:before="40"/>
      </w:pPr>
      <w:r>
        <w:rPr>
          <w:rFonts w:ascii="Arial" w:cs="Arial" w:eastAsia="Arial" w:hAnsi="Arial"/>
          <w:color w:val="1A1A1A"/>
          <w:sz w:val="20"/>
          <w:szCs w:val="20"/>
        </w:rPr>
        <w:t xml:space="preserve">Order summary when COD selected shows: Order Total, Pay Now (advance) Rs.500, Pay at Delivery Rs.X (remaining), Grand Total.</w:t>
      </w:r>
    </w:p>
    <w:p>
      <w:pPr>
        <w:pStyle w:val="ListParagraph"/>
        <w:numPr>
          <w:ilvl w:val="0"/>
          <w:numId w:val="2"/>
        </w:numPr>
        <w:spacing w:after="40" w:before="40"/>
      </w:pPr>
      <w:r>
        <w:rPr>
          <w:rFonts w:ascii="Arial" w:cs="Arial" w:eastAsia="Arial" w:hAnsi="Arial"/>
          <w:color w:val="1A1A1A"/>
          <w:sz w:val="20"/>
          <w:szCs w:val="20"/>
        </w:rPr>
        <w:t xml:space="preserve">Order is not confirmed until Rs.500 advance payment is received. Invoice reflects full order amount with advance payment noted separately.</w:t>
      </w:r>
    </w:p>
    <w:p>
      <w:pPr>
        <w:spacing w:after="80" w:before="80"/>
      </w:pPr>
      <w:r>
        <w:t xml:space="preserve"/>
      </w:r>
    </w:p>
    <w:p>
      <w:pPr>
        <w:spacing w:after="60" w:before="200"/>
      </w:pPr>
      <w:r>
        <w:rPr>
          <w:rFonts w:ascii="Arial" w:cs="Arial" w:eastAsia="Arial" w:hAnsi="Arial"/>
          <w:b/>
          <w:bCs/>
          <w:color w:val="1A1A1A"/>
          <w:sz w:val="22"/>
          <w:szCs w:val="22"/>
        </w:rPr>
        <w:t xml:space="preserve">Order Summary — Right Side</w:t>
      </w:r>
    </w:p>
    <w:p>
      <w:pPr>
        <w:pStyle w:val="ListParagraph"/>
        <w:numPr>
          <w:ilvl w:val="0"/>
          <w:numId w:val="2"/>
        </w:numPr>
        <w:spacing w:after="40" w:before="40"/>
      </w:pPr>
      <w:r>
        <w:rPr>
          <w:rFonts w:ascii="Arial" w:cs="Arial" w:eastAsia="Arial" w:hAnsi="Arial"/>
          <w:color w:val="1A1A1A"/>
          <w:sz w:val="20"/>
          <w:szCs w:val="20"/>
        </w:rPr>
        <w:t xml:space="preserve">Each item: image, name, variant, quantity, price.</w:t>
      </w:r>
    </w:p>
    <w:p>
      <w:pPr>
        <w:pStyle w:val="ListParagraph"/>
        <w:numPr>
          <w:ilvl w:val="0"/>
          <w:numId w:val="2"/>
        </w:numPr>
        <w:spacing w:after="40" w:before="40"/>
      </w:pPr>
      <w:r>
        <w:rPr>
          <w:rFonts w:ascii="Arial" w:cs="Arial" w:eastAsia="Arial" w:hAnsi="Arial"/>
          <w:color w:val="1A1A1A"/>
          <w:sz w:val="20"/>
          <w:szCs w:val="20"/>
        </w:rPr>
        <w:t xml:space="preserve">Subtotal (GST incl.).</w:t>
      </w:r>
    </w:p>
    <w:p>
      <w:pPr>
        <w:pStyle w:val="ListParagraph"/>
        <w:numPr>
          <w:ilvl w:val="0"/>
          <w:numId w:val="2"/>
        </w:numPr>
        <w:spacing w:after="40" w:before="40"/>
      </w:pPr>
      <w:r>
        <w:rPr>
          <w:rFonts w:ascii="Arial" w:cs="Arial" w:eastAsia="Arial" w:hAnsi="Arial"/>
          <w:color w:val="1A1A1A"/>
          <w:sz w:val="20"/>
          <w:szCs w:val="20"/>
        </w:rPr>
        <w:t xml:space="preserve">Delivery charge.</w:t>
      </w:r>
    </w:p>
    <w:p>
      <w:pPr>
        <w:pStyle w:val="ListParagraph"/>
        <w:numPr>
          <w:ilvl w:val="0"/>
          <w:numId w:val="2"/>
        </w:numPr>
        <w:spacing w:after="40" w:before="40"/>
      </w:pPr>
      <w:r>
        <w:rPr>
          <w:rFonts w:ascii="Arial" w:cs="Arial" w:eastAsia="Arial" w:hAnsi="Arial"/>
          <w:color w:val="1A1A1A"/>
          <w:sz w:val="20"/>
          <w:szCs w:val="20"/>
        </w:rPr>
        <w:t xml:space="preserve">Coupon discount if applied from cart.</w:t>
      </w:r>
    </w:p>
    <w:p>
      <w:pPr>
        <w:pStyle w:val="ListParagraph"/>
        <w:numPr>
          <w:ilvl w:val="0"/>
          <w:numId w:val="2"/>
        </w:numPr>
        <w:spacing w:after="40" w:before="40"/>
      </w:pPr>
      <w:r>
        <w:rPr>
          <w:rFonts w:ascii="Arial" w:cs="Arial" w:eastAsia="Arial" w:hAnsi="Arial"/>
          <w:color w:val="1A1A1A"/>
          <w:sz w:val="20"/>
          <w:szCs w:val="20"/>
        </w:rPr>
        <w:t xml:space="preserve">Amount after discount.</w:t>
      </w:r>
    </w:p>
    <w:p>
      <w:pPr>
        <w:pStyle w:val="ListParagraph"/>
        <w:numPr>
          <w:ilvl w:val="0"/>
          <w:numId w:val="2"/>
        </w:numPr>
        <w:spacing w:after="40" w:before="40"/>
      </w:pPr>
      <w:r>
        <w:rPr>
          <w:rFonts w:ascii="Arial" w:cs="Arial" w:eastAsia="Arial" w:hAnsi="Arial"/>
          <w:color w:val="1A1A1A"/>
          <w:sz w:val="20"/>
          <w:szCs w:val="20"/>
        </w:rPr>
        <w:t xml:space="preserve">GST breakup collapsible section expanded by default — calculated on amount after discount: CGST 9% = Rs.X + SGST 9% = Rs.X (or IGST 18% = Rs.X for interstate orders).</w:t>
      </w:r>
    </w:p>
    <w:p>
      <w:pPr>
        <w:pStyle w:val="ListParagraph"/>
        <w:numPr>
          <w:ilvl w:val="0"/>
          <w:numId w:val="2"/>
        </w:numPr>
        <w:spacing w:after="40" w:before="40"/>
      </w:pPr>
      <w:r>
        <w:rPr>
          <w:rFonts w:ascii="Arial" w:cs="Arial" w:eastAsia="Arial" w:hAnsi="Arial"/>
          <w:color w:val="1A1A1A"/>
          <w:sz w:val="20"/>
          <w:szCs w:val="20"/>
        </w:rPr>
        <w:t xml:space="preserve">Grand Total bold large green.</w:t>
      </w:r>
    </w:p>
    <w:p>
      <w:pPr>
        <w:pStyle w:val="ListParagraph"/>
        <w:numPr>
          <w:ilvl w:val="0"/>
          <w:numId w:val="2"/>
        </w:numPr>
        <w:spacing w:after="40" w:before="40"/>
      </w:pPr>
      <w:r>
        <w:rPr>
          <w:rFonts w:ascii="Arial" w:cs="Arial" w:eastAsia="Arial" w:hAnsi="Arial"/>
          <w:color w:val="1A1A1A"/>
          <w:sz w:val="20"/>
          <w:szCs w:val="20"/>
        </w:rPr>
        <w:t xml:space="preserve">GSTIN input field optional — label: Have a GSTIN? Enter for B2B invoice.</w:t>
      </w:r>
    </w:p>
    <w:p>
      <w:pPr>
        <w:pStyle w:val="ListParagraph"/>
        <w:numPr>
          <w:ilvl w:val="0"/>
          <w:numId w:val="2"/>
        </w:numPr>
        <w:spacing w:after="40" w:before="40"/>
      </w:pPr>
      <w:r>
        <w:rPr>
          <w:rFonts w:ascii="Arial" w:cs="Arial" w:eastAsia="Arial" w:hAnsi="Arial"/>
          <w:color w:val="1A1A1A"/>
          <w:sz w:val="20"/>
          <w:szCs w:val="20"/>
        </w:rPr>
        <w:t xml:space="preserve">Place Order button solid green full width with lock icon and Secure Checkout text.</w:t>
      </w:r>
    </w:p>
    <w:p>
      <w:pPr>
        <w:spacing w:after="80" w:before="80"/>
      </w:pPr>
      <w:r>
        <w:t xml:space="preserve"/>
      </w:r>
    </w:p>
    <w:p>
      <w:pPr>
        <w:spacing w:after="60" w:before="200"/>
      </w:pPr>
      <w:r>
        <w:rPr>
          <w:rFonts w:ascii="Arial" w:cs="Arial" w:eastAsia="Arial" w:hAnsi="Arial"/>
          <w:b/>
          <w:bCs/>
          <w:color w:val="1A1A1A"/>
          <w:sz w:val="22"/>
          <w:szCs w:val="22"/>
        </w:rPr>
        <w:t xml:space="preserve">Trust Signals — below Place Order</w:t>
      </w:r>
    </w:p>
    <w:p>
      <w:pPr>
        <w:pStyle w:val="ListParagraph"/>
        <w:numPr>
          <w:ilvl w:val="0"/>
          <w:numId w:val="2"/>
        </w:numPr>
        <w:spacing w:after="40" w:before="40"/>
      </w:pPr>
      <w:r>
        <w:rPr>
          <w:rFonts w:ascii="Arial" w:cs="Arial" w:eastAsia="Arial" w:hAnsi="Arial"/>
          <w:color w:val="1A1A1A"/>
          <w:sz w:val="20"/>
          <w:szCs w:val="20"/>
        </w:rPr>
        <w:t xml:space="preserve">256-bit SSL Encrypted Payment.</w:t>
      </w:r>
    </w:p>
    <w:p>
      <w:pPr>
        <w:pStyle w:val="ListParagraph"/>
        <w:numPr>
          <w:ilvl w:val="0"/>
          <w:numId w:val="2"/>
        </w:numPr>
        <w:spacing w:after="40" w:before="40"/>
      </w:pPr>
      <w:r>
        <w:rPr>
          <w:rFonts w:ascii="Arial" w:cs="Arial" w:eastAsia="Arial" w:hAnsi="Arial"/>
          <w:color w:val="1A1A1A"/>
          <w:sz w:val="20"/>
          <w:szCs w:val="20"/>
        </w:rPr>
        <w:t xml:space="preserve">7 Day Returns.</w:t>
      </w:r>
    </w:p>
    <w:p>
      <w:pPr>
        <w:pStyle w:val="ListParagraph"/>
        <w:numPr>
          <w:ilvl w:val="0"/>
          <w:numId w:val="2"/>
        </w:numPr>
        <w:spacing w:after="40" w:before="40"/>
      </w:pPr>
      <w:r>
        <w:rPr>
          <w:rFonts w:ascii="Arial" w:cs="Arial" w:eastAsia="Arial" w:hAnsi="Arial"/>
          <w:color w:val="1A1A1A"/>
          <w:sz w:val="20"/>
          <w:szCs w:val="20"/>
        </w:rPr>
        <w:t xml:space="preserve">GST Invoice on Every Order.</w:t>
      </w:r>
    </w:p>
    <w:p>
      <w:pPr>
        <w:spacing w:after="80" w:before="80"/>
      </w:pPr>
      <w:r>
        <w:t xml:space="preserve"/>
      </w:r>
    </w:p>
    <w:p>
      <w:pPr>
        <w:spacing w:after="60" w:before="200"/>
      </w:pPr>
      <w:r>
        <w:rPr>
          <w:rFonts w:ascii="Arial" w:cs="Arial" w:eastAsia="Arial" w:hAnsi="Arial"/>
          <w:b/>
          <w:bCs/>
          <w:color w:val="1A1A1A"/>
          <w:sz w:val="22"/>
          <w:szCs w:val="22"/>
        </w:rPr>
        <w:t xml:space="preserve">Order Confirmation Page</w:t>
      </w:r>
    </w:p>
    <w:p>
      <w:pPr>
        <w:pStyle w:val="ListParagraph"/>
        <w:numPr>
          <w:ilvl w:val="0"/>
          <w:numId w:val="2"/>
        </w:numPr>
        <w:spacing w:after="40" w:before="40"/>
      </w:pPr>
      <w:r>
        <w:rPr>
          <w:rFonts w:ascii="Arial" w:cs="Arial" w:eastAsia="Arial" w:hAnsi="Arial"/>
          <w:color w:val="1A1A1A"/>
          <w:sz w:val="20"/>
          <w:szCs w:val="20"/>
        </w:rPr>
        <w:t xml:space="preserve">Route: /order-confirmation.</w:t>
      </w:r>
    </w:p>
    <w:p>
      <w:pPr>
        <w:pStyle w:val="ListParagraph"/>
        <w:numPr>
          <w:ilvl w:val="0"/>
          <w:numId w:val="2"/>
        </w:numPr>
        <w:spacing w:after="40" w:before="40"/>
      </w:pPr>
      <w:r>
        <w:rPr>
          <w:rFonts w:ascii="Arial" w:cs="Arial" w:eastAsia="Arial" w:hAnsi="Arial"/>
          <w:color w:val="1A1A1A"/>
          <w:sz w:val="20"/>
          <w:szCs w:val="20"/>
        </w:rPr>
        <w:t xml:space="preserve">Large green checkmark with scale-in animation on load.</w:t>
      </w:r>
    </w:p>
    <w:p>
      <w:pPr>
        <w:pStyle w:val="ListParagraph"/>
        <w:numPr>
          <w:ilvl w:val="0"/>
          <w:numId w:val="2"/>
        </w:numPr>
        <w:spacing w:after="40" w:before="40"/>
      </w:pPr>
      <w:r>
        <w:rPr>
          <w:rFonts w:ascii="Arial" w:cs="Arial" w:eastAsia="Arial" w:hAnsi="Arial"/>
          <w:color w:val="1A1A1A"/>
          <w:sz w:val="20"/>
          <w:szCs w:val="20"/>
        </w:rPr>
        <w:t xml:space="preserve">Order Placed Successfully heading.</w:t>
      </w:r>
    </w:p>
    <w:p>
      <w:pPr>
        <w:pStyle w:val="ListParagraph"/>
        <w:numPr>
          <w:ilvl w:val="0"/>
          <w:numId w:val="2"/>
        </w:numPr>
        <w:spacing w:after="40" w:before="40"/>
      </w:pPr>
      <w:r>
        <w:rPr>
          <w:rFonts w:ascii="Arial" w:cs="Arial" w:eastAsia="Arial" w:hAnsi="Arial"/>
          <w:color w:val="1A1A1A"/>
          <w:sz w:val="20"/>
          <w:szCs w:val="20"/>
        </w:rPr>
        <w:t xml:space="preserve">Order ID: #RK-YYYY-XXXXX format.</w:t>
      </w:r>
    </w:p>
    <w:p>
      <w:pPr>
        <w:pStyle w:val="ListParagraph"/>
        <w:numPr>
          <w:ilvl w:val="0"/>
          <w:numId w:val="2"/>
        </w:numPr>
        <w:spacing w:after="40" w:before="40"/>
      </w:pPr>
      <w:r>
        <w:rPr>
          <w:rFonts w:ascii="Arial" w:cs="Arial" w:eastAsia="Arial" w:hAnsi="Arial"/>
          <w:color w:val="1A1A1A"/>
          <w:sz w:val="20"/>
          <w:szCs w:val="20"/>
        </w:rPr>
        <w:t xml:space="preserve">Items ordered with variant and price.</w:t>
      </w:r>
    </w:p>
    <w:p>
      <w:pPr>
        <w:pStyle w:val="ListParagraph"/>
        <w:numPr>
          <w:ilvl w:val="0"/>
          <w:numId w:val="2"/>
        </w:numPr>
        <w:spacing w:after="40" w:before="40"/>
      </w:pPr>
      <w:r>
        <w:rPr>
          <w:rFonts w:ascii="Arial" w:cs="Arial" w:eastAsia="Arial" w:hAnsi="Arial"/>
          <w:color w:val="1A1A1A"/>
          <w:sz w:val="20"/>
          <w:szCs w:val="20"/>
        </w:rPr>
        <w:t xml:space="preserve">Total paid, estimated delivery 3-5 business days.</w:t>
      </w:r>
    </w:p>
    <w:p>
      <w:pPr>
        <w:pStyle w:val="ListParagraph"/>
        <w:numPr>
          <w:ilvl w:val="0"/>
          <w:numId w:val="2"/>
        </w:numPr>
        <w:spacing w:after="40" w:before="40"/>
      </w:pPr>
      <w:r>
        <w:rPr>
          <w:rFonts w:ascii="Arial" w:cs="Arial" w:eastAsia="Arial" w:hAnsi="Arial"/>
          <w:color w:val="1A1A1A"/>
          <w:sz w:val="20"/>
          <w:szCs w:val="20"/>
        </w:rPr>
        <w:t xml:space="preserve">Order confirmation sent to your email note.</w:t>
      </w:r>
    </w:p>
    <w:p>
      <w:pPr>
        <w:pStyle w:val="ListParagraph"/>
        <w:numPr>
          <w:ilvl w:val="0"/>
          <w:numId w:val="2"/>
        </w:numPr>
        <w:spacing w:after="40" w:before="40"/>
      </w:pPr>
      <w:r>
        <w:rPr>
          <w:rFonts w:ascii="Arial" w:cs="Arial" w:eastAsia="Arial" w:hAnsi="Arial"/>
          <w:color w:val="1A1A1A"/>
          <w:sz w:val="20"/>
          <w:szCs w:val="20"/>
        </w:rPr>
        <w:t xml:space="preserve">Two buttons: Track Order (outline green) and Continue Shopping (solid green).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to be decided — gateway-agnostic architecture. Supports UPI, Cards, Net Banking, Wallets, EMI, and COD advance collection. Payment failure handling: if payment fails, order held in Pending Payment status for 15 minutes; cart preserved; user shown retry prompt with failure reason. Same order ID reused on retry — no duplicate order creation. After 15 minutes, pending order auto-cancelled and stock released. Payment webhook handles all status updates server-side — frontend confirmation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Hero Banner Management</w:t>
      </w:r>
    </w:p>
    <w:p>
      <w:pPr>
        <w:spacing w:after="60" w:before="60"/>
        <w:jc w:val="both"/>
      </w:pPr>
      <w:r>
        <w:rPr>
          <w:rFonts w:ascii="Arial" w:cs="Arial" w:eastAsia="Arial" w:hAnsi="Arial"/>
          <w:color w:val="1A1A1A"/>
          <w:sz w:val="20"/>
          <w:szCs w:val="20"/>
        </w:rPr>
        <w:t xml:space="preserve">Admin can manage the homepage hero slider entirely from the admin panel — no developer required to change posters, update text, or run promotional campaigns.</w:t>
      </w:r>
    </w:p>
    <w:p>
      <w:pPr>
        <w:spacing w:after="80" w:before="80"/>
      </w:pPr>
      <w:r>
        <w:t xml:space="preserve"/>
      </w:r>
    </w:p>
    <w:p>
      <w:pPr>
        <w:spacing w:after="60" w:before="200"/>
      </w:pPr>
      <w:r>
        <w:rPr>
          <w:rFonts w:ascii="Arial" w:cs="Arial" w:eastAsia="Arial" w:hAnsi="Arial"/>
          <w:b/>
          <w:bCs/>
          <w:color w:val="1A1A1A"/>
          <w:sz w:val="22"/>
          <w:szCs w:val="22"/>
        </w:rPr>
        <w:t xml:space="preserve">Banner List View</w:t>
      </w:r>
    </w:p>
    <w:p>
      <w:pPr>
        <w:pStyle w:val="ListParagraph"/>
        <w:numPr>
          <w:ilvl w:val="0"/>
          <w:numId w:val="2"/>
        </w:numPr>
        <w:spacing w:after="40" w:before="40"/>
      </w:pPr>
      <w:r>
        <w:rPr>
          <w:rFonts w:ascii="Arial" w:cs="Arial" w:eastAsia="Arial" w:hAnsi="Arial"/>
          <w:color w:val="1A1A1A"/>
          <w:sz w:val="20"/>
          <w:szCs w:val="20"/>
        </w:rPr>
        <w:t xml:space="preserve">Shows all banners in order with thumbnail preview, headline, status (Active/Inactive), start date, end date, and drag handle for reordering.</w:t>
      </w:r>
    </w:p>
    <w:p>
      <w:pPr>
        <w:pStyle w:val="ListParagraph"/>
        <w:numPr>
          <w:ilvl w:val="0"/>
          <w:numId w:val="2"/>
        </w:numPr>
        <w:spacing w:after="40" w:before="40"/>
      </w:pPr>
      <w:r>
        <w:rPr>
          <w:rFonts w:ascii="Arial" w:cs="Arial" w:eastAsia="Arial" w:hAnsi="Arial"/>
          <w:color w:val="1A1A1A"/>
          <w:sz w:val="20"/>
          <w:szCs w:val="20"/>
        </w:rPr>
        <w:t xml:space="preserve">Drag and drop to reorder banners — order reflects immediately on homepage.</w:t>
      </w:r>
    </w:p>
    <w:p>
      <w:pPr>
        <w:pStyle w:val="ListParagraph"/>
        <w:numPr>
          <w:ilvl w:val="0"/>
          <w:numId w:val="2"/>
        </w:numPr>
        <w:spacing w:after="40" w:before="40"/>
      </w:pPr>
      <w:r>
        <w:rPr>
          <w:rFonts w:ascii="Arial" w:cs="Arial" w:eastAsia="Arial" w:hAnsi="Arial"/>
          <w:color w:val="1A1A1A"/>
          <w:sz w:val="20"/>
          <w:szCs w:val="20"/>
        </w:rPr>
        <w:t xml:space="preserve">Toggle any banner Active or Inactive without deleting it.</w:t>
      </w:r>
    </w:p>
    <w:p>
      <w:pPr>
        <w:pStyle w:val="ListParagraph"/>
        <w:numPr>
          <w:ilvl w:val="0"/>
          <w:numId w:val="2"/>
        </w:numPr>
        <w:spacing w:after="40" w:before="40"/>
      </w:pPr>
      <w:r>
        <w:rPr>
          <w:rFonts w:ascii="Arial" w:cs="Arial" w:eastAsia="Arial" w:hAnsi="Arial"/>
          <w:color w:val="1A1A1A"/>
          <w:sz w:val="20"/>
          <w:szCs w:val="20"/>
        </w:rPr>
        <w:t xml:space="preserve">Add New Banner button opens the banner editor.</w:t>
      </w:r>
    </w:p>
    <w:p>
      <w:pPr>
        <w:spacing w:after="80" w:before="80"/>
      </w:pPr>
      <w:r>
        <w:t xml:space="preserve"/>
      </w:r>
    </w:p>
    <w:p>
      <w:pPr>
        <w:spacing w:after="60" w:before="200"/>
      </w:pPr>
      <w:r>
        <w:rPr>
          <w:rFonts w:ascii="Arial" w:cs="Arial" w:eastAsia="Arial" w:hAnsi="Arial"/>
          <w:b/>
          <w:bCs/>
          <w:color w:val="1A1A1A"/>
          <w:sz w:val="22"/>
          <w:szCs w:val="22"/>
        </w:rPr>
        <w:t xml:space="preserve">Banner Editor Fields</w:t>
      </w:r>
    </w:p>
    <w:p>
      <w:pPr>
        <w:pStyle w:val="ListParagraph"/>
        <w:numPr>
          <w:ilvl w:val="0"/>
          <w:numId w:val="2"/>
        </w:numPr>
        <w:spacing w:after="40" w:before="40"/>
      </w:pPr>
      <w:r>
        <w:rPr>
          <w:rFonts w:ascii="Arial" w:cs="Arial" w:eastAsia="Arial" w:hAnsi="Arial"/>
          <w:color w:val="1A1A1A"/>
          <w:sz w:val="20"/>
          <w:szCs w:val="20"/>
        </w:rPr>
        <w:t xml:space="preserve">Background Image: upload a poster image (recommended size: 1440x560px, max 3MB, JPEG/WebP). Preview shown immediately after upload.</w:t>
      </w:r>
    </w:p>
    <w:p>
      <w:pPr>
        <w:pStyle w:val="ListParagraph"/>
        <w:numPr>
          <w:ilvl w:val="0"/>
          <w:numId w:val="2"/>
        </w:numPr>
        <w:spacing w:after="40" w:before="40"/>
      </w:pPr>
      <w:r>
        <w:rPr>
          <w:rFonts w:ascii="Arial" w:cs="Arial" w:eastAsia="Arial" w:hAnsi="Arial"/>
          <w:color w:val="1A1A1A"/>
          <w:sz w:val="20"/>
          <w:szCs w:val="20"/>
        </w:rPr>
        <w:t xml:space="preserve">Headline: short bold text overlaid on the poster (max 60 characters).</w:t>
      </w:r>
    </w:p>
    <w:p>
      <w:pPr>
        <w:pStyle w:val="ListParagraph"/>
        <w:numPr>
          <w:ilvl w:val="0"/>
          <w:numId w:val="2"/>
        </w:numPr>
        <w:spacing w:after="40" w:before="40"/>
      </w:pPr>
      <w:r>
        <w:rPr>
          <w:rFonts w:ascii="Arial" w:cs="Arial" w:eastAsia="Arial" w:hAnsi="Arial"/>
          <w:color w:val="1A1A1A"/>
          <w:sz w:val="20"/>
          <w:szCs w:val="20"/>
        </w:rPr>
        <w:t xml:space="preserve">Subtext: one line below headline (max 100 characters).</w:t>
      </w:r>
    </w:p>
    <w:p>
      <w:pPr>
        <w:pStyle w:val="ListParagraph"/>
        <w:numPr>
          <w:ilvl w:val="0"/>
          <w:numId w:val="2"/>
        </w:numPr>
        <w:spacing w:after="40" w:before="40"/>
      </w:pPr>
      <w:r>
        <w:rPr>
          <w:rFonts w:ascii="Arial" w:cs="Arial" w:eastAsia="Arial" w:hAnsi="Arial"/>
          <w:color w:val="1A1A1A"/>
          <w:sz w:val="20"/>
          <w:szCs w:val="20"/>
        </w:rPr>
        <w:t xml:space="preserve">CTA Button Text: e.g. Shop Now, Get a Quote, View Flash Sale (max 20 characters).</w:t>
      </w:r>
    </w:p>
    <w:p>
      <w:pPr>
        <w:pStyle w:val="ListParagraph"/>
        <w:numPr>
          <w:ilvl w:val="0"/>
          <w:numId w:val="2"/>
        </w:numPr>
        <w:spacing w:after="40" w:before="40"/>
      </w:pPr>
      <w:r>
        <w:rPr>
          <w:rFonts w:ascii="Arial" w:cs="Arial" w:eastAsia="Arial" w:hAnsi="Arial"/>
          <w:color w:val="1A1A1A"/>
          <w:sz w:val="20"/>
          <w:szCs w:val="20"/>
        </w:rPr>
        <w:t xml:space="preserve">CTA Button Link: internal route (e.g. /products/laptops) or external URL.</w:t>
      </w:r>
    </w:p>
    <w:p>
      <w:pPr>
        <w:pStyle w:val="ListParagraph"/>
        <w:numPr>
          <w:ilvl w:val="0"/>
          <w:numId w:val="2"/>
        </w:numPr>
        <w:spacing w:after="40" w:before="40"/>
      </w:pPr>
      <w:r>
        <w:rPr>
          <w:rFonts w:ascii="Arial" w:cs="Arial" w:eastAsia="Arial" w:hAnsi="Arial"/>
          <w:color w:val="1A1A1A"/>
          <w:sz w:val="20"/>
          <w:szCs w:val="20"/>
        </w:rPr>
        <w:t xml:space="preserve">Status: Active / Inactive toggle.</w:t>
      </w:r>
    </w:p>
    <w:p>
      <w:pPr>
        <w:pStyle w:val="ListParagraph"/>
        <w:numPr>
          <w:ilvl w:val="0"/>
          <w:numId w:val="2"/>
        </w:numPr>
        <w:spacing w:after="40" w:before="40"/>
      </w:pPr>
      <w:r>
        <w:rPr>
          <w:rFonts w:ascii="Arial" w:cs="Arial" w:eastAsia="Arial" w:hAnsi="Arial"/>
          <w:color w:val="1A1A1A"/>
          <w:sz w:val="20"/>
          <w:szCs w:val="20"/>
        </w:rPr>
        <w:t xml:space="preserve">Clickable: Yes / No toggle. When Yes (default), entire banner is clickable and navigates to CTA Link. When No, banner is display-only, no click navigation, cursor default.</w:t>
      </w:r>
    </w:p>
    <w:p>
      <w:pPr>
        <w:pStyle w:val="ListParagraph"/>
        <w:numPr>
          <w:ilvl w:val="0"/>
          <w:numId w:val="2"/>
        </w:numPr>
        <w:spacing w:after="40" w:before="40"/>
      </w:pPr>
      <w:r>
        <w:rPr>
          <w:rFonts w:ascii="Arial" w:cs="Arial" w:eastAsia="Arial" w:hAnsi="Arial"/>
          <w:color w:val="1A1A1A"/>
          <w:sz w:val="20"/>
          <w:szCs w:val="20"/>
        </w:rPr>
        <w:t xml:space="preserve">Start Date (optional): banner auto-activates on this date.</w:t>
      </w:r>
    </w:p>
    <w:p>
      <w:pPr>
        <w:pStyle w:val="ListParagraph"/>
        <w:numPr>
          <w:ilvl w:val="0"/>
          <w:numId w:val="2"/>
        </w:numPr>
        <w:spacing w:after="40" w:before="40"/>
      </w:pPr>
      <w:r>
        <w:rPr>
          <w:rFonts w:ascii="Arial" w:cs="Arial" w:eastAsia="Arial" w:hAnsi="Arial"/>
          <w:color w:val="1A1A1A"/>
          <w:sz w:val="20"/>
          <w:szCs w:val="20"/>
        </w:rPr>
        <w:t xml:space="preserve">End Date (optional): banner auto-deactivates on this date — useful for promotional campaigns like Diwali sale or Republic Day offers.</w:t>
      </w:r>
    </w:p>
    <w:p>
      <w:pPr>
        <w:pStyle w:val="ListParagraph"/>
        <w:numPr>
          <w:ilvl w:val="0"/>
          <w:numId w:val="2"/>
        </w:numPr>
        <w:spacing w:after="40" w:before="40"/>
      </w:pPr>
      <w:r>
        <w:rPr>
          <w:rFonts w:ascii="Arial" w:cs="Arial" w:eastAsia="Arial" w:hAnsi="Arial"/>
          <w:color w:val="1A1A1A"/>
          <w:sz w:val="20"/>
          <w:szCs w:val="20"/>
        </w:rPr>
        <w:t xml:space="preserve">Display Order: numeric, auto-assigned but editable.</w:t>
      </w:r>
    </w:p>
    <w:p>
      <w:pPr>
        <w:spacing w:after="80" w:before="80"/>
      </w:pPr>
      <w:r>
        <w:t xml:space="preserve"/>
      </w:r>
    </w:p>
    <w:p>
      <w:pPr>
        <w:spacing w:after="60" w:before="200"/>
      </w:pPr>
      <w:r>
        <w:rPr>
          <w:rFonts w:ascii="Arial" w:cs="Arial" w:eastAsia="Arial" w:hAnsi="Arial"/>
          <w:b/>
          <w:bCs/>
          <w:color w:val="1A1A1A"/>
          <w:sz w:val="22"/>
          <w:szCs w:val="22"/>
        </w:rPr>
        <w:t xml:space="preserve">Auto-Expiry Behaviour</w:t>
      </w:r>
    </w:p>
    <w:p>
      <w:pPr>
        <w:pStyle w:val="ListParagraph"/>
        <w:numPr>
          <w:ilvl w:val="0"/>
          <w:numId w:val="2"/>
        </w:numPr>
        <w:spacing w:after="40" w:before="40"/>
      </w:pPr>
      <w:r>
        <w:rPr>
          <w:rFonts w:ascii="Arial" w:cs="Arial" w:eastAsia="Arial" w:hAnsi="Arial"/>
          <w:color w:val="1A1A1A"/>
          <w:sz w:val="20"/>
          <w:szCs w:val="20"/>
        </w:rPr>
        <w:t xml:space="preserve">Banners with an End Date auto-deactivate when the date passes — they move to Inactive status automatically. Admin receives an email notification when a banner expires.</w:t>
      </w:r>
    </w:p>
    <w:p>
      <w:pPr>
        <w:pStyle w:val="ListParagraph"/>
        <w:numPr>
          <w:ilvl w:val="0"/>
          <w:numId w:val="2"/>
        </w:numPr>
        <w:spacing w:after="40" w:before="40"/>
      </w:pPr>
      <w:r>
        <w:rPr>
          <w:rFonts w:ascii="Arial" w:cs="Arial" w:eastAsia="Arial" w:hAnsi="Arial"/>
          <w:color w:val="1A1A1A"/>
          <w:sz w:val="20"/>
          <w:szCs w:val="20"/>
        </w:rPr>
        <w:t xml:space="preserve">Banners with a Start Date go live automatically at midnight on that date.</w:t>
      </w:r>
    </w:p>
    <w:p>
      <w:pPr>
        <w:pStyle w:val="ListParagraph"/>
        <w:numPr>
          <w:ilvl w:val="0"/>
          <w:numId w:val="2"/>
        </w:numPr>
        <w:spacing w:after="40" w:before="40"/>
      </w:pPr>
      <w:r>
        <w:rPr>
          <w:rFonts w:ascii="Arial" w:cs="Arial" w:eastAsia="Arial" w:hAnsi="Arial"/>
          <w:color w:val="1A1A1A"/>
          <w:sz w:val="20"/>
          <w:szCs w:val="20"/>
        </w:rPr>
        <w:t xml:space="preserve">Minimum one banner must always be Active — system prevents deactivating the last active banner.</w:t>
      </w:r>
    </w:p>
    <w:p>
      <w:pPr>
        <w:spacing w:after="80" w:before="80"/>
      </w:pPr>
      <w:r>
        <w:t xml:space="preserve"/>
      </w:r>
    </w:p>
    <w:p>
      <w:pPr>
        <w:spacing w:after="60" w:before="200"/>
      </w:pPr>
      <w:r>
        <w:rPr>
          <w:rFonts w:ascii="Arial" w:cs="Arial" w:eastAsia="Arial" w:hAnsi="Arial"/>
          <w:b/>
          <w:bCs/>
          <w:color w:val="1A1A1A"/>
          <w:sz w:val="22"/>
          <w:szCs w:val="22"/>
        </w:rPr>
        <w:t xml:space="preserve">Homepage Slider Behaviour</w:t>
      </w:r>
    </w:p>
    <w:p>
      <w:pPr>
        <w:pStyle w:val="ListParagraph"/>
        <w:numPr>
          <w:ilvl w:val="0"/>
          <w:numId w:val="2"/>
        </w:numPr>
        <w:spacing w:after="40" w:before="40"/>
      </w:pPr>
      <w:r>
        <w:rPr>
          <w:rFonts w:ascii="Arial" w:cs="Arial" w:eastAsia="Arial" w:hAnsi="Arial"/>
          <w:color w:val="1A1A1A"/>
          <w:sz w:val="20"/>
          <w:szCs w:val="20"/>
        </w:rPr>
        <w:t xml:space="preserve">Homepage slider renders only Active banners in their set display order.</w:t>
      </w:r>
    </w:p>
    <w:p>
      <w:pPr>
        <w:pStyle w:val="ListParagraph"/>
        <w:numPr>
          <w:ilvl w:val="0"/>
          <w:numId w:val="2"/>
        </w:numPr>
        <w:spacing w:after="40" w:before="40"/>
      </w:pPr>
      <w:r>
        <w:rPr>
          <w:rFonts w:ascii="Arial" w:cs="Arial" w:eastAsia="Arial" w:hAnsi="Arial"/>
          <w:color w:val="1A1A1A"/>
          <w:sz w:val="20"/>
          <w:szCs w:val="20"/>
        </w:rPr>
        <w:t xml:space="preserve">Auto-plays every 4 seconds, pauses on hover, resumes on hover end.</w:t>
      </w:r>
    </w:p>
    <w:p>
      <w:pPr>
        <w:pStyle w:val="ListParagraph"/>
        <w:numPr>
          <w:ilvl w:val="0"/>
          <w:numId w:val="2"/>
        </w:numPr>
        <w:spacing w:after="40" w:before="40"/>
      </w:pPr>
      <w:r>
        <w:rPr>
          <w:rFonts w:ascii="Arial" w:cs="Arial" w:eastAsia="Arial" w:hAnsi="Arial"/>
          <w:color w:val="1A1A1A"/>
          <w:sz w:val="20"/>
          <w:szCs w:val="20"/>
        </w:rPr>
        <w:t xml:space="preserve">Left/right arrow navigation and dot indicators — dot count matches active banner count.</w:t>
      </w:r>
    </w:p>
    <w:p>
      <w:pPr>
        <w:pStyle w:val="ListParagraph"/>
        <w:numPr>
          <w:ilvl w:val="0"/>
          <w:numId w:val="2"/>
        </w:numPr>
        <w:spacing w:after="40" w:before="40"/>
      </w:pPr>
      <w:r>
        <w:rPr>
          <w:rFonts w:ascii="Arial" w:cs="Arial" w:eastAsia="Arial" w:hAnsi="Arial"/>
          <w:color w:val="1A1A1A"/>
          <w:sz w:val="20"/>
          <w:szCs w:val="20"/>
        </w:rPr>
        <w:t xml:space="preserve">Mobile: swipe gesture to change slides, arrows hidden, dots visible.</w:t>
      </w:r>
    </w:p>
    <w:p>
      <w:pPr>
        <w:pStyle w:val="ListParagraph"/>
        <w:numPr>
          <w:ilvl w:val="0"/>
          <w:numId w:val="2"/>
        </w:numPr>
        <w:spacing w:after="40" w:before="40"/>
      </w:pPr>
      <w:r>
        <w:rPr>
          <w:rFonts w:ascii="Arial" w:cs="Arial" w:eastAsia="Arial" w:hAnsi="Arial"/>
          <w:color w:val="1A1A1A"/>
          <w:sz w:val="20"/>
          <w:szCs w:val="20"/>
        </w:rPr>
        <w:t xml:space="preserve">Changes made in admin panel reflect on homepage within 60 seconds — no full redeploy required.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Device Condition Report: per listing, admin fills condition description for each component from a template. Components shown depend on category. Admin can mark components as Not Applicable where irrelevant.</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6.9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with GST extracted from inclusive price, total. GST breakup also shown on checkout page before payment. Since all prices are GST-inclusive, the invoice back-calculates and displays the GST component separately for compliance.</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TBD — gateway-agnostic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 be decided before backend phase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payment gateway integration, COD advance flow,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2026-06-08T07:32:47.660Z</dcterms:created>
  <dcterms:modified xsi:type="dcterms:W3CDTF">2026-06-08T07:32:47.672Z</dcterms:modified>
</cp:coreProperties>
</file>

<file path=docProps/custom.xml><?xml version="1.0" encoding="utf-8"?>
<Properties xmlns="http://schemas.openxmlformats.org/officeDocument/2006/custom-properties" xmlns:vt="http://schemas.openxmlformats.org/officeDocument/2006/docPropsVTypes"/>
</file>