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spacing w:after="60" w:before="60"/>
        <w:jc w:val="both"/>
      </w:pPr>
      <w:r>
        <w:rPr>
          <w:rFonts w:ascii="Arial" w:cs="Arial" w:eastAsia="Arial" w:hAnsi="Arial"/>
          <w:color w:val="1A1A1A"/>
          <w:sz w:val="20"/>
          <w:szCs w:val="20"/>
        </w:rPr>
        <w:t xml:space="preserve">All prices displayed on the platform are INCLUSIVE of GST. The customer sees and pays one final price. GST is not added on top at checkout — it is already embedded in the displayed price. GST breakup (CGST+SGST or IGST) is shown on the invoice only, not on product pages or cart.</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Subtle looping animation showing device refurbishment journey (broken → inspected → cleaned → certified). Overlaid search bar. Trust badges below: Tested &amp; Certified | 7-Day Returns | GST Invoice | PAN India Delivery.</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CPU, RAM type, display, OS, warranty, data wipe status.</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Related products carousel at bottom of PDP: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second carousel below the first —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save products for later.</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All prices displayed in cart are GST-inclusive — no GST is added at checkout. Cart order summary shows: Subtotal (GST incl.), Delivery charge, Coupon discount, and Total only. No GST breakup in cart.</w:t>
      </w:r>
    </w:p>
    <w:p>
      <w:pPr>
        <w:pStyle w:val="ListParagraph"/>
        <w:numPr>
          <w:ilvl w:val="0"/>
          <w:numId w:val="2"/>
        </w:numPr>
        <w:spacing w:after="40" w:before="40"/>
      </w:pPr>
      <w:r>
        <w:rPr>
          <w:rFonts w:ascii="Arial" w:cs="Arial" w:eastAsia="Arial" w:hAnsi="Arial"/>
          <w:color w:val="1A1A1A"/>
          <w:sz w:val="20"/>
          <w:szCs w:val="20"/>
        </w:rPr>
        <w:t xml:space="preserve">GST breakup is shown on the checkout page order summary — displayed as a collapsible section after the coupon discount: Subtotal, Delivery, Coupon Discount, Amount after Discount, then GST Breakup (CGST X% + SGST X% or IGST X% — calculated on amount after discount), then Grand Total. This gives the buyer full transparency before payment without cluttering the cart.</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strip below the cart items.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4.7 Checkout Page</w:t>
      </w:r>
    </w:p>
    <w:p>
      <w:pPr>
        <w:spacing w:after="60" w:before="60"/>
        <w:jc w:val="both"/>
      </w:pPr>
      <w:r>
        <w:rPr>
          <w:rFonts w:ascii="Arial" w:cs="Arial" w:eastAsia="Arial" w:hAnsi="Arial"/>
          <w:color w:val="1A1A1A"/>
          <w:sz w:val="20"/>
          <w:szCs w:val="20"/>
        </w:rPr>
        <w:t xml:space="preserve">Route: /checkout. Handles delivery address, payment method selection, GST breakup, and order placement.</w:t>
      </w:r>
    </w:p>
    <w:p>
      <w:pPr>
        <w:spacing w:after="80" w:before="80"/>
      </w:pPr>
      <w:r>
        <w:t xml:space="preserve"/>
      </w:r>
    </w:p>
    <w:p>
      <w:pPr>
        <w:spacing w:after="60" w:before="200"/>
      </w:pPr>
      <w:r>
        <w:rPr>
          <w:rFonts w:ascii="Arial" w:cs="Arial" w:eastAsia="Arial" w:hAnsi="Arial"/>
          <w:b/>
          <w:bCs/>
          <w:color w:val="1A1A1A"/>
          <w:sz w:val="22"/>
          <w:szCs w:val="22"/>
        </w:rPr>
        <w:t xml:space="preserve">Delivery Address</w:t>
      </w:r>
    </w:p>
    <w:p>
      <w:pPr>
        <w:pStyle w:val="ListParagraph"/>
        <w:numPr>
          <w:ilvl w:val="0"/>
          <w:numId w:val="2"/>
        </w:numPr>
        <w:spacing w:after="40" w:before="40"/>
      </w:pPr>
      <w:r>
        <w:rPr>
          <w:rFonts w:ascii="Arial" w:cs="Arial" w:eastAsia="Arial" w:hAnsi="Arial"/>
          <w:color w:val="1A1A1A"/>
          <w:sz w:val="20"/>
          <w:szCs w:val="20"/>
        </w:rPr>
        <w:t xml:space="preserve">Fields: Full Name, Phone, Email, Address Line 1, Address Line 2 (optional), City, State (dropdown all Indian states), Pincode.</w:t>
      </w:r>
    </w:p>
    <w:p>
      <w:pPr>
        <w:pStyle w:val="ListParagraph"/>
        <w:numPr>
          <w:ilvl w:val="0"/>
          <w:numId w:val="2"/>
        </w:numPr>
        <w:spacing w:after="40" w:before="40"/>
      </w:pPr>
      <w:r>
        <w:rPr>
          <w:rFonts w:ascii="Arial" w:cs="Arial" w:eastAsia="Arial" w:hAnsi="Arial"/>
          <w:color w:val="1A1A1A"/>
          <w:sz w:val="20"/>
          <w:szCs w:val="20"/>
        </w:rPr>
        <w:t xml:space="preserve">If user has saved addresses, shown as selectable cards first with Add New Address option below.</w:t>
      </w:r>
    </w:p>
    <w:p>
      <w:pPr>
        <w:pStyle w:val="ListParagraph"/>
        <w:numPr>
          <w:ilvl w:val="0"/>
          <w:numId w:val="2"/>
        </w:numPr>
        <w:spacing w:after="40" w:before="40"/>
      </w:pPr>
      <w:r>
        <w:rPr>
          <w:rFonts w:ascii="Arial" w:cs="Arial" w:eastAsia="Arial" w:hAnsi="Arial"/>
          <w:color w:val="1A1A1A"/>
          <w:sz w:val="20"/>
          <w:szCs w:val="20"/>
        </w:rPr>
        <w:t xml:space="preserve">Save address checkbox for new addresses.</w:t>
      </w:r>
    </w:p>
    <w:p>
      <w:pPr>
        <w:spacing w:after="80" w:before="80"/>
      </w:pPr>
      <w:r>
        <w:t xml:space="preserve"/>
      </w:r>
    </w:p>
    <w:p>
      <w:pPr>
        <w:spacing w:after="60" w:before="200"/>
      </w:pPr>
      <w:r>
        <w:rPr>
          <w:rFonts w:ascii="Arial" w:cs="Arial" w:eastAsia="Arial" w:hAnsi="Arial"/>
          <w:b/>
          <w:bCs/>
          <w:color w:val="1A1A1A"/>
          <w:sz w:val="22"/>
          <w:szCs w:val="22"/>
        </w:rPr>
        <w:t xml:space="preserve">Payment Methods</w:t>
      </w:r>
    </w:p>
    <w:p>
      <w:pPr>
        <w:pStyle w:val="ListParagraph"/>
        <w:numPr>
          <w:ilvl w:val="0"/>
          <w:numId w:val="2"/>
        </w:numPr>
        <w:spacing w:after="40" w:before="40"/>
      </w:pPr>
      <w:r>
        <w:rPr>
          <w:rFonts w:ascii="Arial" w:cs="Arial" w:eastAsia="Arial" w:hAnsi="Arial"/>
          <w:color w:val="1A1A1A"/>
          <w:sz w:val="20"/>
          <w:szCs w:val="20"/>
        </w:rPr>
        <w:t xml:space="preserve">UPI — UPI ID input field when selected.</w:t>
      </w:r>
    </w:p>
    <w:p>
      <w:pPr>
        <w:pStyle w:val="ListParagraph"/>
        <w:numPr>
          <w:ilvl w:val="0"/>
          <w:numId w:val="2"/>
        </w:numPr>
        <w:spacing w:after="40" w:before="40"/>
      </w:pPr>
      <w:r>
        <w:rPr>
          <w:rFonts w:ascii="Arial" w:cs="Arial" w:eastAsia="Arial" w:hAnsi="Arial"/>
          <w:color w:val="1A1A1A"/>
          <w:sz w:val="20"/>
          <w:szCs w:val="20"/>
        </w:rPr>
        <w:t xml:space="preserve">Credit / Debit Card — card number, expiry, CVV fields when selected.</w:t>
      </w:r>
    </w:p>
    <w:p>
      <w:pPr>
        <w:pStyle w:val="ListParagraph"/>
        <w:numPr>
          <w:ilvl w:val="0"/>
          <w:numId w:val="2"/>
        </w:numPr>
        <w:spacing w:after="40" w:before="40"/>
      </w:pPr>
      <w:r>
        <w:rPr>
          <w:rFonts w:ascii="Arial" w:cs="Arial" w:eastAsia="Arial" w:hAnsi="Arial"/>
          <w:color w:val="1A1A1A"/>
          <w:sz w:val="20"/>
          <w:szCs w:val="20"/>
        </w:rPr>
        <w:t xml:space="preserve">Net Banking — bank dropdown when selected.</w:t>
      </w:r>
    </w:p>
    <w:p>
      <w:pPr>
        <w:pStyle w:val="ListParagraph"/>
        <w:numPr>
          <w:ilvl w:val="0"/>
          <w:numId w:val="2"/>
        </w:numPr>
        <w:spacing w:after="40" w:before="40"/>
      </w:pPr>
      <w:r>
        <w:rPr>
          <w:rFonts w:ascii="Arial" w:cs="Arial" w:eastAsia="Arial" w:hAnsi="Arial"/>
          <w:color w:val="1A1A1A"/>
          <w:sz w:val="20"/>
          <w:szCs w:val="20"/>
        </w:rPr>
        <w:t xml:space="preserve">Wallets — Paytm, PhonePe, Amazon Pay options.</w:t>
      </w:r>
    </w:p>
    <w:p>
      <w:pPr>
        <w:pStyle w:val="ListParagraph"/>
        <w:numPr>
          <w:ilvl w:val="0"/>
          <w:numId w:val="2"/>
        </w:numPr>
        <w:spacing w:after="40" w:before="40"/>
      </w:pPr>
      <w:r>
        <w:rPr>
          <w:rFonts w:ascii="Arial" w:cs="Arial" w:eastAsia="Arial" w:hAnsi="Arial"/>
          <w:color w:val="1A1A1A"/>
          <w:sz w:val="20"/>
          <w:szCs w:val="20"/>
        </w:rPr>
        <w:t xml:space="preserve">Cash on Delivery — see COD rules below.</w:t>
      </w:r>
    </w:p>
    <w:p>
      <w:pPr>
        <w:pStyle w:val="ListParagraph"/>
        <w:numPr>
          <w:ilvl w:val="0"/>
          <w:numId w:val="2"/>
        </w:numPr>
        <w:spacing w:after="40" w:before="40"/>
      </w:pPr>
      <w:r>
        <w:rPr>
          <w:rFonts w:ascii="Arial" w:cs="Arial" w:eastAsia="Arial" w:hAnsi="Arial"/>
          <w:color w:val="1A1A1A"/>
          <w:sz w:val="20"/>
          <w:szCs w:val="20"/>
        </w:rPr>
        <w:t xml:space="preserve">No payment gateway branding or logos anywhere on checkout. Gateway will be integrated in backend phase.</w:t>
      </w:r>
    </w:p>
    <w:p>
      <w:pPr>
        <w:spacing w:after="80" w:before="80"/>
      </w:pPr>
      <w:r>
        <w:t xml:space="preserve"/>
      </w:r>
    </w:p>
    <w:p>
      <w:pPr>
        <w:spacing w:after="60" w:before="200"/>
      </w:pPr>
      <w:r>
        <w:rPr>
          <w:rFonts w:ascii="Arial" w:cs="Arial" w:eastAsia="Arial" w:hAnsi="Arial"/>
          <w:b/>
          <w:bCs/>
          <w:color w:val="1A1A1A"/>
          <w:sz w:val="22"/>
          <w:szCs w:val="22"/>
        </w:rPr>
        <w:t xml:space="preserve">COD Rules</w:t>
      </w:r>
    </w:p>
    <w:p>
      <w:pPr>
        <w:pStyle w:val="ListParagraph"/>
        <w:numPr>
          <w:ilvl w:val="0"/>
          <w:numId w:val="2"/>
        </w:numPr>
        <w:spacing w:after="40" w:before="40"/>
      </w:pPr>
      <w:r>
        <w:rPr>
          <w:rFonts w:ascii="Arial" w:cs="Arial" w:eastAsia="Arial" w:hAnsi="Arial"/>
          <w:color w:val="1A1A1A"/>
          <w:sz w:val="20"/>
          <w:szCs w:val="20"/>
        </w:rPr>
        <w:t xml:space="preserve">COD is available on all orders up to Rs.29,999.</w:t>
      </w:r>
    </w:p>
    <w:p>
      <w:pPr>
        <w:pStyle w:val="ListParagraph"/>
        <w:numPr>
          <w:ilvl w:val="0"/>
          <w:numId w:val="2"/>
        </w:numPr>
        <w:spacing w:after="40" w:before="40"/>
      </w:pPr>
      <w:r>
        <w:rPr>
          <w:rFonts w:ascii="Arial" w:cs="Arial" w:eastAsia="Arial" w:hAnsi="Arial"/>
          <w:color w:val="1A1A1A"/>
          <w:sz w:val="20"/>
          <w:szCs w:val="20"/>
        </w:rPr>
        <w:t xml:space="preserve">COD option is ALWAYS shown on the checkout page — never hidden. If order total exceeds Rs.29,999, COD option is visible but greyed out and disabled with label: COD available on orders up to Rs.29,999 only.</w:t>
      </w:r>
    </w:p>
    <w:p>
      <w:pPr>
        <w:pStyle w:val="ListParagraph"/>
        <w:numPr>
          <w:ilvl w:val="0"/>
          <w:numId w:val="2"/>
        </w:numPr>
        <w:spacing w:after="40" w:before="40"/>
      </w:pPr>
      <w:r>
        <w:rPr>
          <w:rFonts w:ascii="Arial" w:cs="Arial" w:eastAsia="Arial" w:hAnsi="Arial"/>
          <w:color w:val="1A1A1A"/>
          <w:sz w:val="20"/>
          <w:szCs w:val="20"/>
        </w:rPr>
        <w:t xml:space="preserve">When COD is selected and order is under Rs.29,999: show info box — Pay Rs.500 now to confirm your order. Remaining Rs.X will be collected at delivery by our courier partner.</w:t>
      </w:r>
    </w:p>
    <w:p>
      <w:pPr>
        <w:pStyle w:val="ListParagraph"/>
        <w:numPr>
          <w:ilvl w:val="0"/>
          <w:numId w:val="2"/>
        </w:numPr>
        <w:spacing w:after="40" w:before="40"/>
      </w:pPr>
      <w:r>
        <w:rPr>
          <w:rFonts w:ascii="Arial" w:cs="Arial" w:eastAsia="Arial" w:hAnsi="Arial"/>
          <w:color w:val="1A1A1A"/>
          <w:sz w:val="20"/>
          <w:szCs w:val="20"/>
        </w:rPr>
        <w:t xml:space="preserve">The Rs.500 advance must be paid online via UPI, Card, or Wallet — shown as sub-options below the COD info box when COD is selected.</w:t>
      </w:r>
    </w:p>
    <w:p>
      <w:pPr>
        <w:pStyle w:val="ListParagraph"/>
        <w:numPr>
          <w:ilvl w:val="0"/>
          <w:numId w:val="2"/>
        </w:numPr>
        <w:spacing w:after="40" w:before="40"/>
      </w:pPr>
      <w:r>
        <w:rPr>
          <w:rFonts w:ascii="Arial" w:cs="Arial" w:eastAsia="Arial" w:hAnsi="Arial"/>
          <w:color w:val="1A1A1A"/>
          <w:sz w:val="20"/>
          <w:szCs w:val="20"/>
        </w:rPr>
        <w:t xml:space="preserve">Place Order button text changes to: Pay Rs.500 and Confirm Order when COD is selected.</w:t>
      </w:r>
    </w:p>
    <w:p>
      <w:pPr>
        <w:pStyle w:val="ListParagraph"/>
        <w:numPr>
          <w:ilvl w:val="0"/>
          <w:numId w:val="2"/>
        </w:numPr>
        <w:spacing w:after="40" w:before="40"/>
      </w:pPr>
      <w:r>
        <w:rPr>
          <w:rFonts w:ascii="Arial" w:cs="Arial" w:eastAsia="Arial" w:hAnsi="Arial"/>
          <w:color w:val="1A1A1A"/>
          <w:sz w:val="20"/>
          <w:szCs w:val="20"/>
        </w:rPr>
        <w:t xml:space="preserve">Order summary when COD selected shows: Order Total, Pay Now (advance) Rs.500, Pay at Delivery Rs.X (remaining), Grand Total.</w:t>
      </w:r>
    </w:p>
    <w:p>
      <w:pPr>
        <w:pStyle w:val="ListParagraph"/>
        <w:numPr>
          <w:ilvl w:val="0"/>
          <w:numId w:val="2"/>
        </w:numPr>
        <w:spacing w:after="40" w:before="40"/>
      </w:pPr>
      <w:r>
        <w:rPr>
          <w:rFonts w:ascii="Arial" w:cs="Arial" w:eastAsia="Arial" w:hAnsi="Arial"/>
          <w:color w:val="1A1A1A"/>
          <w:sz w:val="20"/>
          <w:szCs w:val="20"/>
        </w:rPr>
        <w:t xml:space="preserve">Order is not confirmed until Rs.500 advance payment is received. Invoice reflects full order amount with advance payment noted separately.</w:t>
      </w:r>
    </w:p>
    <w:p>
      <w:pPr>
        <w:spacing w:after="80" w:before="80"/>
      </w:pPr>
      <w:r>
        <w:t xml:space="preserve"/>
      </w:r>
    </w:p>
    <w:p>
      <w:pPr>
        <w:spacing w:after="60" w:before="200"/>
      </w:pPr>
      <w:r>
        <w:rPr>
          <w:rFonts w:ascii="Arial" w:cs="Arial" w:eastAsia="Arial" w:hAnsi="Arial"/>
          <w:b/>
          <w:bCs/>
          <w:color w:val="1A1A1A"/>
          <w:sz w:val="22"/>
          <w:szCs w:val="22"/>
        </w:rPr>
        <w:t xml:space="preserve">Order Summary — Right Side</w:t>
      </w:r>
    </w:p>
    <w:p>
      <w:pPr>
        <w:pStyle w:val="ListParagraph"/>
        <w:numPr>
          <w:ilvl w:val="0"/>
          <w:numId w:val="2"/>
        </w:numPr>
        <w:spacing w:after="40" w:before="40"/>
      </w:pPr>
      <w:r>
        <w:rPr>
          <w:rFonts w:ascii="Arial" w:cs="Arial" w:eastAsia="Arial" w:hAnsi="Arial"/>
          <w:color w:val="1A1A1A"/>
          <w:sz w:val="20"/>
          <w:szCs w:val="20"/>
        </w:rPr>
        <w:t xml:space="preserve">Each item: image, name, variant, quantity, price.</w:t>
      </w:r>
    </w:p>
    <w:p>
      <w:pPr>
        <w:pStyle w:val="ListParagraph"/>
        <w:numPr>
          <w:ilvl w:val="0"/>
          <w:numId w:val="2"/>
        </w:numPr>
        <w:spacing w:after="40" w:before="40"/>
      </w:pPr>
      <w:r>
        <w:rPr>
          <w:rFonts w:ascii="Arial" w:cs="Arial" w:eastAsia="Arial" w:hAnsi="Arial"/>
          <w:color w:val="1A1A1A"/>
          <w:sz w:val="20"/>
          <w:szCs w:val="20"/>
        </w:rPr>
        <w:t xml:space="preserve">Subtotal (GST incl.).</w:t>
      </w:r>
    </w:p>
    <w:p>
      <w:pPr>
        <w:pStyle w:val="ListParagraph"/>
        <w:numPr>
          <w:ilvl w:val="0"/>
          <w:numId w:val="2"/>
        </w:numPr>
        <w:spacing w:after="40" w:before="40"/>
      </w:pPr>
      <w:r>
        <w:rPr>
          <w:rFonts w:ascii="Arial" w:cs="Arial" w:eastAsia="Arial" w:hAnsi="Arial"/>
          <w:color w:val="1A1A1A"/>
          <w:sz w:val="20"/>
          <w:szCs w:val="20"/>
        </w:rPr>
        <w:t xml:space="preserve">Delivery charge.</w:t>
      </w:r>
    </w:p>
    <w:p>
      <w:pPr>
        <w:pStyle w:val="ListParagraph"/>
        <w:numPr>
          <w:ilvl w:val="0"/>
          <w:numId w:val="2"/>
        </w:numPr>
        <w:spacing w:after="40" w:before="40"/>
      </w:pPr>
      <w:r>
        <w:rPr>
          <w:rFonts w:ascii="Arial" w:cs="Arial" w:eastAsia="Arial" w:hAnsi="Arial"/>
          <w:color w:val="1A1A1A"/>
          <w:sz w:val="20"/>
          <w:szCs w:val="20"/>
        </w:rPr>
        <w:t xml:space="preserve">Coupon discount if applied from cart.</w:t>
      </w:r>
    </w:p>
    <w:p>
      <w:pPr>
        <w:pStyle w:val="ListParagraph"/>
        <w:numPr>
          <w:ilvl w:val="0"/>
          <w:numId w:val="2"/>
        </w:numPr>
        <w:spacing w:after="40" w:before="40"/>
      </w:pPr>
      <w:r>
        <w:rPr>
          <w:rFonts w:ascii="Arial" w:cs="Arial" w:eastAsia="Arial" w:hAnsi="Arial"/>
          <w:color w:val="1A1A1A"/>
          <w:sz w:val="20"/>
          <w:szCs w:val="20"/>
        </w:rPr>
        <w:t xml:space="preserve">Amount after discount.</w:t>
      </w:r>
    </w:p>
    <w:p>
      <w:pPr>
        <w:pStyle w:val="ListParagraph"/>
        <w:numPr>
          <w:ilvl w:val="0"/>
          <w:numId w:val="2"/>
        </w:numPr>
        <w:spacing w:after="40" w:before="40"/>
      </w:pPr>
      <w:r>
        <w:rPr>
          <w:rFonts w:ascii="Arial" w:cs="Arial" w:eastAsia="Arial" w:hAnsi="Arial"/>
          <w:color w:val="1A1A1A"/>
          <w:sz w:val="20"/>
          <w:szCs w:val="20"/>
        </w:rPr>
        <w:t xml:space="preserve">GST breakup collapsible section expanded by default — calculated on amount after discount: CGST 9% = Rs.X + SGST 9% = Rs.X (or IGST 18% = Rs.X for interstate orders).</w:t>
      </w:r>
    </w:p>
    <w:p>
      <w:pPr>
        <w:pStyle w:val="ListParagraph"/>
        <w:numPr>
          <w:ilvl w:val="0"/>
          <w:numId w:val="2"/>
        </w:numPr>
        <w:spacing w:after="40" w:before="40"/>
      </w:pPr>
      <w:r>
        <w:rPr>
          <w:rFonts w:ascii="Arial" w:cs="Arial" w:eastAsia="Arial" w:hAnsi="Arial"/>
          <w:color w:val="1A1A1A"/>
          <w:sz w:val="20"/>
          <w:szCs w:val="20"/>
        </w:rPr>
        <w:t xml:space="preserve">Grand Total bold large green.</w:t>
      </w:r>
    </w:p>
    <w:p>
      <w:pPr>
        <w:pStyle w:val="ListParagraph"/>
        <w:numPr>
          <w:ilvl w:val="0"/>
          <w:numId w:val="2"/>
        </w:numPr>
        <w:spacing w:after="40" w:before="40"/>
      </w:pPr>
      <w:r>
        <w:rPr>
          <w:rFonts w:ascii="Arial" w:cs="Arial" w:eastAsia="Arial" w:hAnsi="Arial"/>
          <w:color w:val="1A1A1A"/>
          <w:sz w:val="20"/>
          <w:szCs w:val="20"/>
        </w:rPr>
        <w:t xml:space="preserve">GSTIN input field optional — label: Have a GSTIN? Enter for B2B invoice.</w:t>
      </w:r>
    </w:p>
    <w:p>
      <w:pPr>
        <w:pStyle w:val="ListParagraph"/>
        <w:numPr>
          <w:ilvl w:val="0"/>
          <w:numId w:val="2"/>
        </w:numPr>
        <w:spacing w:after="40" w:before="40"/>
      </w:pPr>
      <w:r>
        <w:rPr>
          <w:rFonts w:ascii="Arial" w:cs="Arial" w:eastAsia="Arial" w:hAnsi="Arial"/>
          <w:color w:val="1A1A1A"/>
          <w:sz w:val="20"/>
          <w:szCs w:val="20"/>
        </w:rPr>
        <w:t xml:space="preserve">Place Order button solid green full width with lock icon and Secure Checkout text.</w:t>
      </w:r>
    </w:p>
    <w:p>
      <w:pPr>
        <w:spacing w:after="80" w:before="80"/>
      </w:pPr>
      <w:r>
        <w:t xml:space="preserve"/>
      </w:r>
    </w:p>
    <w:p>
      <w:pPr>
        <w:spacing w:after="60" w:before="200"/>
      </w:pPr>
      <w:r>
        <w:rPr>
          <w:rFonts w:ascii="Arial" w:cs="Arial" w:eastAsia="Arial" w:hAnsi="Arial"/>
          <w:b/>
          <w:bCs/>
          <w:color w:val="1A1A1A"/>
          <w:sz w:val="22"/>
          <w:szCs w:val="22"/>
        </w:rPr>
        <w:t xml:space="preserve">Trust Signals — below Place Order</w:t>
      </w:r>
    </w:p>
    <w:p>
      <w:pPr>
        <w:pStyle w:val="ListParagraph"/>
        <w:numPr>
          <w:ilvl w:val="0"/>
          <w:numId w:val="2"/>
        </w:numPr>
        <w:spacing w:after="40" w:before="40"/>
      </w:pPr>
      <w:r>
        <w:rPr>
          <w:rFonts w:ascii="Arial" w:cs="Arial" w:eastAsia="Arial" w:hAnsi="Arial"/>
          <w:color w:val="1A1A1A"/>
          <w:sz w:val="20"/>
          <w:szCs w:val="20"/>
        </w:rPr>
        <w:t xml:space="preserve">256-bit SSL Encrypted Payment.</w:t>
      </w:r>
    </w:p>
    <w:p>
      <w:pPr>
        <w:pStyle w:val="ListParagraph"/>
        <w:numPr>
          <w:ilvl w:val="0"/>
          <w:numId w:val="2"/>
        </w:numPr>
        <w:spacing w:after="40" w:before="40"/>
      </w:pPr>
      <w:r>
        <w:rPr>
          <w:rFonts w:ascii="Arial" w:cs="Arial" w:eastAsia="Arial" w:hAnsi="Arial"/>
          <w:color w:val="1A1A1A"/>
          <w:sz w:val="20"/>
          <w:szCs w:val="20"/>
        </w:rPr>
        <w:t xml:space="preserve">7 Day Returns.</w:t>
      </w:r>
    </w:p>
    <w:p>
      <w:pPr>
        <w:pStyle w:val="ListParagraph"/>
        <w:numPr>
          <w:ilvl w:val="0"/>
          <w:numId w:val="2"/>
        </w:numPr>
        <w:spacing w:after="40" w:before="40"/>
      </w:pPr>
      <w:r>
        <w:rPr>
          <w:rFonts w:ascii="Arial" w:cs="Arial" w:eastAsia="Arial" w:hAnsi="Arial"/>
          <w:color w:val="1A1A1A"/>
          <w:sz w:val="20"/>
          <w:szCs w:val="20"/>
        </w:rPr>
        <w:t xml:space="preserve">GST Invoice on Every Order.</w:t>
      </w:r>
    </w:p>
    <w:p>
      <w:pPr>
        <w:spacing w:after="80" w:before="80"/>
      </w:pPr>
      <w:r>
        <w:t xml:space="preserve"/>
      </w:r>
    </w:p>
    <w:p>
      <w:pPr>
        <w:spacing w:after="60" w:before="200"/>
      </w:pPr>
      <w:r>
        <w:rPr>
          <w:rFonts w:ascii="Arial" w:cs="Arial" w:eastAsia="Arial" w:hAnsi="Arial"/>
          <w:b/>
          <w:bCs/>
          <w:color w:val="1A1A1A"/>
          <w:sz w:val="22"/>
          <w:szCs w:val="22"/>
        </w:rPr>
        <w:t xml:space="preserve">Order Confirmation Page</w:t>
      </w:r>
    </w:p>
    <w:p>
      <w:pPr>
        <w:pStyle w:val="ListParagraph"/>
        <w:numPr>
          <w:ilvl w:val="0"/>
          <w:numId w:val="2"/>
        </w:numPr>
        <w:spacing w:after="40" w:before="40"/>
      </w:pPr>
      <w:r>
        <w:rPr>
          <w:rFonts w:ascii="Arial" w:cs="Arial" w:eastAsia="Arial" w:hAnsi="Arial"/>
          <w:color w:val="1A1A1A"/>
          <w:sz w:val="20"/>
          <w:szCs w:val="20"/>
        </w:rPr>
        <w:t xml:space="preserve">Route: /order-confirmation.</w:t>
      </w:r>
    </w:p>
    <w:p>
      <w:pPr>
        <w:pStyle w:val="ListParagraph"/>
        <w:numPr>
          <w:ilvl w:val="0"/>
          <w:numId w:val="2"/>
        </w:numPr>
        <w:spacing w:after="40" w:before="40"/>
      </w:pPr>
      <w:r>
        <w:rPr>
          <w:rFonts w:ascii="Arial" w:cs="Arial" w:eastAsia="Arial" w:hAnsi="Arial"/>
          <w:color w:val="1A1A1A"/>
          <w:sz w:val="20"/>
          <w:szCs w:val="20"/>
        </w:rPr>
        <w:t xml:space="preserve">Large green checkmark with scale-in animation on load.</w:t>
      </w:r>
    </w:p>
    <w:p>
      <w:pPr>
        <w:pStyle w:val="ListParagraph"/>
        <w:numPr>
          <w:ilvl w:val="0"/>
          <w:numId w:val="2"/>
        </w:numPr>
        <w:spacing w:after="40" w:before="40"/>
      </w:pPr>
      <w:r>
        <w:rPr>
          <w:rFonts w:ascii="Arial" w:cs="Arial" w:eastAsia="Arial" w:hAnsi="Arial"/>
          <w:color w:val="1A1A1A"/>
          <w:sz w:val="20"/>
          <w:szCs w:val="20"/>
        </w:rPr>
        <w:t xml:space="preserve">Order Placed Successfully heading.</w:t>
      </w:r>
    </w:p>
    <w:p>
      <w:pPr>
        <w:pStyle w:val="ListParagraph"/>
        <w:numPr>
          <w:ilvl w:val="0"/>
          <w:numId w:val="2"/>
        </w:numPr>
        <w:spacing w:after="40" w:before="40"/>
      </w:pPr>
      <w:r>
        <w:rPr>
          <w:rFonts w:ascii="Arial" w:cs="Arial" w:eastAsia="Arial" w:hAnsi="Arial"/>
          <w:color w:val="1A1A1A"/>
          <w:sz w:val="20"/>
          <w:szCs w:val="20"/>
        </w:rPr>
        <w:t xml:space="preserve">Order ID: #RK-YYYY-XXXXX format.</w:t>
      </w:r>
    </w:p>
    <w:p>
      <w:pPr>
        <w:pStyle w:val="ListParagraph"/>
        <w:numPr>
          <w:ilvl w:val="0"/>
          <w:numId w:val="2"/>
        </w:numPr>
        <w:spacing w:after="40" w:before="40"/>
      </w:pPr>
      <w:r>
        <w:rPr>
          <w:rFonts w:ascii="Arial" w:cs="Arial" w:eastAsia="Arial" w:hAnsi="Arial"/>
          <w:color w:val="1A1A1A"/>
          <w:sz w:val="20"/>
          <w:szCs w:val="20"/>
        </w:rPr>
        <w:t xml:space="preserve">Items ordered with variant and price.</w:t>
      </w:r>
    </w:p>
    <w:p>
      <w:pPr>
        <w:pStyle w:val="ListParagraph"/>
        <w:numPr>
          <w:ilvl w:val="0"/>
          <w:numId w:val="2"/>
        </w:numPr>
        <w:spacing w:after="40" w:before="40"/>
      </w:pPr>
      <w:r>
        <w:rPr>
          <w:rFonts w:ascii="Arial" w:cs="Arial" w:eastAsia="Arial" w:hAnsi="Arial"/>
          <w:color w:val="1A1A1A"/>
          <w:sz w:val="20"/>
          <w:szCs w:val="20"/>
        </w:rPr>
        <w:t xml:space="preserve">Total paid, estimated delivery 3-5 business days.</w:t>
      </w:r>
    </w:p>
    <w:p>
      <w:pPr>
        <w:pStyle w:val="ListParagraph"/>
        <w:numPr>
          <w:ilvl w:val="0"/>
          <w:numId w:val="2"/>
        </w:numPr>
        <w:spacing w:after="40" w:before="40"/>
      </w:pPr>
      <w:r>
        <w:rPr>
          <w:rFonts w:ascii="Arial" w:cs="Arial" w:eastAsia="Arial" w:hAnsi="Arial"/>
          <w:color w:val="1A1A1A"/>
          <w:sz w:val="20"/>
          <w:szCs w:val="20"/>
        </w:rPr>
        <w:t xml:space="preserve">Order confirmation sent to your email note.</w:t>
      </w:r>
    </w:p>
    <w:p>
      <w:pPr>
        <w:pStyle w:val="ListParagraph"/>
        <w:numPr>
          <w:ilvl w:val="0"/>
          <w:numId w:val="2"/>
        </w:numPr>
        <w:spacing w:after="40" w:before="40"/>
      </w:pPr>
      <w:r>
        <w:rPr>
          <w:rFonts w:ascii="Arial" w:cs="Arial" w:eastAsia="Arial" w:hAnsi="Arial"/>
          <w:color w:val="1A1A1A"/>
          <w:sz w:val="20"/>
          <w:szCs w:val="20"/>
        </w:rPr>
        <w:t xml:space="preserve">Two buttons: Track Order (outline green) and Continue Shopping (solid green).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to be decided — gateway-agnostic architecture. Supports UPI, Cards, Net Banking, Wallets, EMI, and COD advance collection. Payment failure handling: if payment fails, order held in Pending Payment status for 15 minutes; cart preserved; user shown retry prompt with failure reason. Same order ID reused on retry — no duplicate order creation. After 15 minutes, pending order auto-cancelled and stock released. Payment webhook handles all status updates server-side — frontend confirmation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Hero Banner Management</w:t>
      </w:r>
    </w:p>
    <w:p>
      <w:pPr>
        <w:spacing w:after="60" w:before="60"/>
        <w:jc w:val="both"/>
      </w:pPr>
      <w:r>
        <w:rPr>
          <w:rFonts w:ascii="Arial" w:cs="Arial" w:eastAsia="Arial" w:hAnsi="Arial"/>
          <w:color w:val="1A1A1A"/>
          <w:sz w:val="20"/>
          <w:szCs w:val="20"/>
        </w:rPr>
        <w:t xml:space="preserve">Admin can manage the homepage hero slider entirely from the admin panel — no developer required to change posters, update text, or run promotional campaigns.</w:t>
      </w:r>
    </w:p>
    <w:p>
      <w:pPr>
        <w:spacing w:after="80" w:before="80"/>
      </w:pPr>
      <w:r>
        <w:t xml:space="preserve"/>
      </w:r>
    </w:p>
    <w:p>
      <w:pPr>
        <w:spacing w:after="60" w:before="200"/>
      </w:pPr>
      <w:r>
        <w:rPr>
          <w:rFonts w:ascii="Arial" w:cs="Arial" w:eastAsia="Arial" w:hAnsi="Arial"/>
          <w:b/>
          <w:bCs/>
          <w:color w:val="1A1A1A"/>
          <w:sz w:val="22"/>
          <w:szCs w:val="22"/>
        </w:rPr>
        <w:t xml:space="preserve">Banner List View</w:t>
      </w:r>
    </w:p>
    <w:p>
      <w:pPr>
        <w:pStyle w:val="ListParagraph"/>
        <w:numPr>
          <w:ilvl w:val="0"/>
          <w:numId w:val="2"/>
        </w:numPr>
        <w:spacing w:after="40" w:before="40"/>
      </w:pPr>
      <w:r>
        <w:rPr>
          <w:rFonts w:ascii="Arial" w:cs="Arial" w:eastAsia="Arial" w:hAnsi="Arial"/>
          <w:color w:val="1A1A1A"/>
          <w:sz w:val="20"/>
          <w:szCs w:val="20"/>
        </w:rPr>
        <w:t xml:space="preserve">Shows all banners in order with thumbnail preview, headline, status (Active/Inactive), start date, end date, and drag handle for reordering.</w:t>
      </w:r>
    </w:p>
    <w:p>
      <w:pPr>
        <w:pStyle w:val="ListParagraph"/>
        <w:numPr>
          <w:ilvl w:val="0"/>
          <w:numId w:val="2"/>
        </w:numPr>
        <w:spacing w:after="40" w:before="40"/>
      </w:pPr>
      <w:r>
        <w:rPr>
          <w:rFonts w:ascii="Arial" w:cs="Arial" w:eastAsia="Arial" w:hAnsi="Arial"/>
          <w:color w:val="1A1A1A"/>
          <w:sz w:val="20"/>
          <w:szCs w:val="20"/>
        </w:rPr>
        <w:t xml:space="preserve">Drag and drop to reorder banners — order reflects immediately on homepage.</w:t>
      </w:r>
    </w:p>
    <w:p>
      <w:pPr>
        <w:pStyle w:val="ListParagraph"/>
        <w:numPr>
          <w:ilvl w:val="0"/>
          <w:numId w:val="2"/>
        </w:numPr>
        <w:spacing w:after="40" w:before="40"/>
      </w:pPr>
      <w:r>
        <w:rPr>
          <w:rFonts w:ascii="Arial" w:cs="Arial" w:eastAsia="Arial" w:hAnsi="Arial"/>
          <w:color w:val="1A1A1A"/>
          <w:sz w:val="20"/>
          <w:szCs w:val="20"/>
        </w:rPr>
        <w:t xml:space="preserve">Toggle any banner Active or Inactive without deleting it.</w:t>
      </w:r>
    </w:p>
    <w:p>
      <w:pPr>
        <w:pStyle w:val="ListParagraph"/>
        <w:numPr>
          <w:ilvl w:val="0"/>
          <w:numId w:val="2"/>
        </w:numPr>
        <w:spacing w:after="40" w:before="40"/>
      </w:pPr>
      <w:r>
        <w:rPr>
          <w:rFonts w:ascii="Arial" w:cs="Arial" w:eastAsia="Arial" w:hAnsi="Arial"/>
          <w:color w:val="1A1A1A"/>
          <w:sz w:val="20"/>
          <w:szCs w:val="20"/>
        </w:rPr>
        <w:t xml:space="preserve">Add New Banner button opens the banner editor.</w:t>
      </w:r>
    </w:p>
    <w:p>
      <w:pPr>
        <w:spacing w:after="80" w:before="80"/>
      </w:pPr>
      <w:r>
        <w:t xml:space="preserve"/>
      </w:r>
    </w:p>
    <w:p>
      <w:pPr>
        <w:spacing w:after="60" w:before="200"/>
      </w:pPr>
      <w:r>
        <w:rPr>
          <w:rFonts w:ascii="Arial" w:cs="Arial" w:eastAsia="Arial" w:hAnsi="Arial"/>
          <w:b/>
          <w:bCs/>
          <w:color w:val="1A1A1A"/>
          <w:sz w:val="22"/>
          <w:szCs w:val="22"/>
        </w:rPr>
        <w:t xml:space="preserve">Banner Editor Fields</w:t>
      </w:r>
    </w:p>
    <w:p>
      <w:pPr>
        <w:pStyle w:val="ListParagraph"/>
        <w:numPr>
          <w:ilvl w:val="0"/>
          <w:numId w:val="2"/>
        </w:numPr>
        <w:spacing w:after="40" w:before="40"/>
      </w:pPr>
      <w:r>
        <w:rPr>
          <w:rFonts w:ascii="Arial" w:cs="Arial" w:eastAsia="Arial" w:hAnsi="Arial"/>
          <w:color w:val="1A1A1A"/>
          <w:sz w:val="20"/>
          <w:szCs w:val="20"/>
        </w:rPr>
        <w:t xml:space="preserve">Background Image: upload a poster image (recommended size: 1440x560px, max 3MB, JPEG/WebP). Preview shown immediately after upload.</w:t>
      </w:r>
    </w:p>
    <w:p>
      <w:pPr>
        <w:pStyle w:val="ListParagraph"/>
        <w:numPr>
          <w:ilvl w:val="0"/>
          <w:numId w:val="2"/>
        </w:numPr>
        <w:spacing w:after="40" w:before="40"/>
      </w:pPr>
      <w:r>
        <w:rPr>
          <w:rFonts w:ascii="Arial" w:cs="Arial" w:eastAsia="Arial" w:hAnsi="Arial"/>
          <w:color w:val="1A1A1A"/>
          <w:sz w:val="20"/>
          <w:szCs w:val="20"/>
        </w:rPr>
        <w:t xml:space="preserve">Headline: short bold text overlaid on the poster (max 60 characters).</w:t>
      </w:r>
    </w:p>
    <w:p>
      <w:pPr>
        <w:pStyle w:val="ListParagraph"/>
        <w:numPr>
          <w:ilvl w:val="0"/>
          <w:numId w:val="2"/>
        </w:numPr>
        <w:spacing w:after="40" w:before="40"/>
      </w:pPr>
      <w:r>
        <w:rPr>
          <w:rFonts w:ascii="Arial" w:cs="Arial" w:eastAsia="Arial" w:hAnsi="Arial"/>
          <w:color w:val="1A1A1A"/>
          <w:sz w:val="20"/>
          <w:szCs w:val="20"/>
        </w:rPr>
        <w:t xml:space="preserve">Subtext: one line below headline (max 100 characters).</w:t>
      </w:r>
    </w:p>
    <w:p>
      <w:pPr>
        <w:pStyle w:val="ListParagraph"/>
        <w:numPr>
          <w:ilvl w:val="0"/>
          <w:numId w:val="2"/>
        </w:numPr>
        <w:spacing w:after="40" w:before="40"/>
      </w:pPr>
      <w:r>
        <w:rPr>
          <w:rFonts w:ascii="Arial" w:cs="Arial" w:eastAsia="Arial" w:hAnsi="Arial"/>
          <w:color w:val="1A1A1A"/>
          <w:sz w:val="20"/>
          <w:szCs w:val="20"/>
        </w:rPr>
        <w:t xml:space="preserve">CTA Button Text: e.g. Shop Now, Get a Quote, View Flash Sale (max 20 characters).</w:t>
      </w:r>
    </w:p>
    <w:p>
      <w:pPr>
        <w:pStyle w:val="ListParagraph"/>
        <w:numPr>
          <w:ilvl w:val="0"/>
          <w:numId w:val="2"/>
        </w:numPr>
        <w:spacing w:after="40" w:before="40"/>
      </w:pPr>
      <w:r>
        <w:rPr>
          <w:rFonts w:ascii="Arial" w:cs="Arial" w:eastAsia="Arial" w:hAnsi="Arial"/>
          <w:color w:val="1A1A1A"/>
          <w:sz w:val="20"/>
          <w:szCs w:val="20"/>
        </w:rPr>
        <w:t xml:space="preserve">CTA Button Link: internal route (e.g. /products/laptops) or external URL.</w:t>
      </w:r>
    </w:p>
    <w:p>
      <w:pPr>
        <w:pStyle w:val="ListParagraph"/>
        <w:numPr>
          <w:ilvl w:val="0"/>
          <w:numId w:val="2"/>
        </w:numPr>
        <w:spacing w:after="40" w:before="40"/>
      </w:pPr>
      <w:r>
        <w:rPr>
          <w:rFonts w:ascii="Arial" w:cs="Arial" w:eastAsia="Arial" w:hAnsi="Arial"/>
          <w:color w:val="1A1A1A"/>
          <w:sz w:val="20"/>
          <w:szCs w:val="20"/>
        </w:rPr>
        <w:t xml:space="preserve">Status: Active / Inactive toggle.</w:t>
      </w:r>
    </w:p>
    <w:p>
      <w:pPr>
        <w:pStyle w:val="ListParagraph"/>
        <w:numPr>
          <w:ilvl w:val="0"/>
          <w:numId w:val="2"/>
        </w:numPr>
        <w:spacing w:after="40" w:before="40"/>
      </w:pPr>
      <w:r>
        <w:rPr>
          <w:rFonts w:ascii="Arial" w:cs="Arial" w:eastAsia="Arial" w:hAnsi="Arial"/>
          <w:color w:val="1A1A1A"/>
          <w:sz w:val="20"/>
          <w:szCs w:val="20"/>
        </w:rPr>
        <w:t xml:space="preserve">Start Date (optional): banner auto-activates on this date.</w:t>
      </w:r>
    </w:p>
    <w:p>
      <w:pPr>
        <w:pStyle w:val="ListParagraph"/>
        <w:numPr>
          <w:ilvl w:val="0"/>
          <w:numId w:val="2"/>
        </w:numPr>
        <w:spacing w:after="40" w:before="40"/>
      </w:pPr>
      <w:r>
        <w:rPr>
          <w:rFonts w:ascii="Arial" w:cs="Arial" w:eastAsia="Arial" w:hAnsi="Arial"/>
          <w:color w:val="1A1A1A"/>
          <w:sz w:val="20"/>
          <w:szCs w:val="20"/>
        </w:rPr>
        <w:t xml:space="preserve">End Date (optional): banner auto-deactivates on this date — useful for promotional campaigns like Diwali sale or Republic Day offers.</w:t>
      </w:r>
    </w:p>
    <w:p>
      <w:pPr>
        <w:pStyle w:val="ListParagraph"/>
        <w:numPr>
          <w:ilvl w:val="0"/>
          <w:numId w:val="2"/>
        </w:numPr>
        <w:spacing w:after="40" w:before="40"/>
      </w:pPr>
      <w:r>
        <w:rPr>
          <w:rFonts w:ascii="Arial" w:cs="Arial" w:eastAsia="Arial" w:hAnsi="Arial"/>
          <w:color w:val="1A1A1A"/>
          <w:sz w:val="20"/>
          <w:szCs w:val="20"/>
        </w:rPr>
        <w:t xml:space="preserve">Display Order: numeric, auto-assigned but editable.</w:t>
      </w:r>
    </w:p>
    <w:p>
      <w:pPr>
        <w:spacing w:after="80" w:before="80"/>
      </w:pPr>
      <w:r>
        <w:t xml:space="preserve"/>
      </w:r>
    </w:p>
    <w:p>
      <w:pPr>
        <w:spacing w:after="60" w:before="200"/>
      </w:pPr>
      <w:r>
        <w:rPr>
          <w:rFonts w:ascii="Arial" w:cs="Arial" w:eastAsia="Arial" w:hAnsi="Arial"/>
          <w:b/>
          <w:bCs/>
          <w:color w:val="1A1A1A"/>
          <w:sz w:val="22"/>
          <w:szCs w:val="22"/>
        </w:rPr>
        <w:t xml:space="preserve">Auto-Expiry Behaviour</w:t>
      </w:r>
    </w:p>
    <w:p>
      <w:pPr>
        <w:pStyle w:val="ListParagraph"/>
        <w:numPr>
          <w:ilvl w:val="0"/>
          <w:numId w:val="2"/>
        </w:numPr>
        <w:spacing w:after="40" w:before="40"/>
      </w:pPr>
      <w:r>
        <w:rPr>
          <w:rFonts w:ascii="Arial" w:cs="Arial" w:eastAsia="Arial" w:hAnsi="Arial"/>
          <w:color w:val="1A1A1A"/>
          <w:sz w:val="20"/>
          <w:szCs w:val="20"/>
        </w:rPr>
        <w:t xml:space="preserve">Banners with an End Date auto-deactivate when the date passes — they move to Inactive status automatically. Admin receives an email notification when a banner expires.</w:t>
      </w:r>
    </w:p>
    <w:p>
      <w:pPr>
        <w:pStyle w:val="ListParagraph"/>
        <w:numPr>
          <w:ilvl w:val="0"/>
          <w:numId w:val="2"/>
        </w:numPr>
        <w:spacing w:after="40" w:before="40"/>
      </w:pPr>
      <w:r>
        <w:rPr>
          <w:rFonts w:ascii="Arial" w:cs="Arial" w:eastAsia="Arial" w:hAnsi="Arial"/>
          <w:color w:val="1A1A1A"/>
          <w:sz w:val="20"/>
          <w:szCs w:val="20"/>
        </w:rPr>
        <w:t xml:space="preserve">Banners with a Start Date go live automatically at midnight on that date.</w:t>
      </w:r>
    </w:p>
    <w:p>
      <w:pPr>
        <w:pStyle w:val="ListParagraph"/>
        <w:numPr>
          <w:ilvl w:val="0"/>
          <w:numId w:val="2"/>
        </w:numPr>
        <w:spacing w:after="40" w:before="40"/>
      </w:pPr>
      <w:r>
        <w:rPr>
          <w:rFonts w:ascii="Arial" w:cs="Arial" w:eastAsia="Arial" w:hAnsi="Arial"/>
          <w:color w:val="1A1A1A"/>
          <w:sz w:val="20"/>
          <w:szCs w:val="20"/>
        </w:rPr>
        <w:t xml:space="preserve">Minimum one banner must always be Active — system prevents deactivating the last active banner.</w:t>
      </w:r>
    </w:p>
    <w:p>
      <w:pPr>
        <w:spacing w:after="80" w:before="80"/>
      </w:pPr>
      <w:r>
        <w:t xml:space="preserve"/>
      </w:r>
    </w:p>
    <w:p>
      <w:pPr>
        <w:spacing w:after="60" w:before="200"/>
      </w:pPr>
      <w:r>
        <w:rPr>
          <w:rFonts w:ascii="Arial" w:cs="Arial" w:eastAsia="Arial" w:hAnsi="Arial"/>
          <w:b/>
          <w:bCs/>
          <w:color w:val="1A1A1A"/>
          <w:sz w:val="22"/>
          <w:szCs w:val="22"/>
        </w:rPr>
        <w:t xml:space="preserve">Homepage Slider Behaviour</w:t>
      </w:r>
    </w:p>
    <w:p>
      <w:pPr>
        <w:pStyle w:val="ListParagraph"/>
        <w:numPr>
          <w:ilvl w:val="0"/>
          <w:numId w:val="2"/>
        </w:numPr>
        <w:spacing w:after="40" w:before="40"/>
      </w:pPr>
      <w:r>
        <w:rPr>
          <w:rFonts w:ascii="Arial" w:cs="Arial" w:eastAsia="Arial" w:hAnsi="Arial"/>
          <w:color w:val="1A1A1A"/>
          <w:sz w:val="20"/>
          <w:szCs w:val="20"/>
        </w:rPr>
        <w:t xml:space="preserve">Homepage slider renders only Active banners in their set display order.</w:t>
      </w:r>
    </w:p>
    <w:p>
      <w:pPr>
        <w:pStyle w:val="ListParagraph"/>
        <w:numPr>
          <w:ilvl w:val="0"/>
          <w:numId w:val="2"/>
        </w:numPr>
        <w:spacing w:after="40" w:before="40"/>
      </w:pPr>
      <w:r>
        <w:rPr>
          <w:rFonts w:ascii="Arial" w:cs="Arial" w:eastAsia="Arial" w:hAnsi="Arial"/>
          <w:color w:val="1A1A1A"/>
          <w:sz w:val="20"/>
          <w:szCs w:val="20"/>
        </w:rPr>
        <w:t xml:space="preserve">Auto-plays every 4 seconds, pauses on hover, resumes on hover end.</w:t>
      </w:r>
    </w:p>
    <w:p>
      <w:pPr>
        <w:pStyle w:val="ListParagraph"/>
        <w:numPr>
          <w:ilvl w:val="0"/>
          <w:numId w:val="2"/>
        </w:numPr>
        <w:spacing w:after="40" w:before="40"/>
      </w:pPr>
      <w:r>
        <w:rPr>
          <w:rFonts w:ascii="Arial" w:cs="Arial" w:eastAsia="Arial" w:hAnsi="Arial"/>
          <w:color w:val="1A1A1A"/>
          <w:sz w:val="20"/>
          <w:szCs w:val="20"/>
        </w:rPr>
        <w:t xml:space="preserve">Left/right arrow navigation and dot indicators — dot count matches active banner count.</w:t>
      </w:r>
    </w:p>
    <w:p>
      <w:pPr>
        <w:pStyle w:val="ListParagraph"/>
        <w:numPr>
          <w:ilvl w:val="0"/>
          <w:numId w:val="2"/>
        </w:numPr>
        <w:spacing w:after="40" w:before="40"/>
      </w:pPr>
      <w:r>
        <w:rPr>
          <w:rFonts w:ascii="Arial" w:cs="Arial" w:eastAsia="Arial" w:hAnsi="Arial"/>
          <w:color w:val="1A1A1A"/>
          <w:sz w:val="20"/>
          <w:szCs w:val="20"/>
        </w:rPr>
        <w:t xml:space="preserve">Mobile: swipe gesture to change slides, arrows hidden, dots visible.</w:t>
      </w:r>
    </w:p>
    <w:p>
      <w:pPr>
        <w:pStyle w:val="ListParagraph"/>
        <w:numPr>
          <w:ilvl w:val="0"/>
          <w:numId w:val="2"/>
        </w:numPr>
        <w:spacing w:after="40" w:before="40"/>
      </w:pPr>
      <w:r>
        <w:rPr>
          <w:rFonts w:ascii="Arial" w:cs="Arial" w:eastAsia="Arial" w:hAnsi="Arial"/>
          <w:color w:val="1A1A1A"/>
          <w:sz w:val="20"/>
          <w:szCs w:val="20"/>
        </w:rPr>
        <w:t xml:space="preserve">Changes made in admin panel reflect on homepage within 60 seconds — no full redeploy required.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6.9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with GST extracted from inclusive price, total. GST breakup also shown on checkout page before payment. Since all prices are GST-inclusive, the invoice back-calculates and displays the GST component separately for compliance.</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TBD — gateway-agnostic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 be decided before backend phase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payment gateway integration, COD advance flow,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2026-06-08T05:47:51.748Z</dcterms:created>
  <dcterms:modified xsi:type="dcterms:W3CDTF">2026-06-08T05:47:51.748Z</dcterms:modified>
</cp:coreProperties>
</file>

<file path=docProps/custom.xml><?xml version="1.0" encoding="utf-8"?>
<Properties xmlns="http://schemas.openxmlformats.org/officeDocument/2006/custom-properties" xmlns:vt="http://schemas.openxmlformats.org/officeDocument/2006/docPropsVTypes"/>
</file>