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Dashboard at a Glance</w:t>
      </w:r>
    </w:p>
    <w:p>
      <w:r>
        <w:t>This reference document shows the styles used in the Risk Management Story Guide.</w:t>
      </w:r>
    </w:p>
    <w:p>
      <w:pPr>
        <w:pStyle w:val="Heading2"/>
      </w:pPr>
      <w:r>
        <w:t>1.1 What is this dashboard?</w:t>
      </w:r>
    </w:p>
    <w:p>
      <w:pPr/>
      <w:r>
        <w:rPr>
          <w:b/>
        </w:rPr>
        <w:t xml:space="preserve">TL;DR — </w:t>
      </w:r>
      <w:r>
        <w:t>A single view of risk adjustment performance tracking RAF capture, coding gaps, and recapture rates.</w:t>
      </w:r>
    </w:p>
    <w:p>
      <w:pPr>
        <w:pStyle w:val="Heading2"/>
      </w:pPr>
      <w:r>
        <w:t>Sample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2E2E2E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009"/>
            <w:shd w:val="clear" w:color="auto" w:fill="2E2E2E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09"/>
            <w:shd w:val="clear" w:color="auto" w:fill="2E2E2E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risk_core</w:t>
            </w:r>
          </w:p>
        </w:tc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risk_value</w:t>
            </w:r>
          </w:p>
        </w:tc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HCC risk weight</w:t>
            </w:r>
          </w:p>
        </w:tc>
      </w:tr>
      <w:tr>
        <w:tc>
          <w:tcPr>
            <w:tcW w:type="dxa" w:w="3009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attribution</w:t>
            </w:r>
          </w:p>
        </w:tc>
        <w:tc>
          <w:tcPr>
            <w:tcW w:type="dxa" w:w="3009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member_count</w:t>
            </w:r>
          </w:p>
        </w:tc>
        <w:tc>
          <w:tcPr>
            <w:tcW w:type="dxa" w:w="3009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Member denominator</w:t>
            </w:r>
          </w:p>
        </w:tc>
      </w:tr>
      <w:tr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month_of_date</w:t>
            </w:r>
          </w:p>
        </w:tc>
        <w:tc>
          <w:tcPr>
            <w:tcW w:type="dxa" w:w="3009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Time intelligence</w:t>
            </w:r>
          </w:p>
        </w:tc>
      </w:tr>
    </w:tbl>
    <w:p>
      <w:pPr>
        <w:pStyle w:val="Heading2"/>
      </w:pPr>
      <w:r>
        <w:t>Sample Bullets</w:t>
      </w:r>
    </w:p>
    <w:p>
      <w:pPr>
        <w:pStyle w:val="ListParagraph"/>
      </w:pPr>
      <w:r>
        <w:t>First bullet item</w:t>
      </w:r>
    </w:p>
    <w:p>
      <w:pPr>
        <w:pStyle w:val="ListParagraph"/>
      </w:pPr>
      <w:r>
        <w:rPr>
          <w:b/>
        </w:rPr>
        <w:t xml:space="preserve">Bold label  </w:t>
      </w:r>
      <w:r>
        <w:t>followed by normal text</w:t>
      </w:r>
    </w:p>
    <w:p>
      <w:pPr>
        <w:pStyle w:val="Heading3"/>
      </w:pPr>
      <w:r>
        <w:t>DAX measure(s):</w:t>
      </w:r>
    </w:p>
    <w:p>
      <w:pPr>
        <w:pStyle w:val="Code"/>
      </w:pPr>
      <w:r>
        <w:t>RAF recapture rate = DIVIDE(SUM(risk_core[risk_value]),</w:t>
        <w:br/>
        <w:t>SUM(risk_core[risk_denominator]))</w:t>
      </w:r>
    </w:p>
    <w:p>
      <w:pPr>
        <w:pStyle w:val="Caption"/>
      </w:pPr>
      <w:r>
        <w:t>Causation note: This metric reflects outcomes, not causes. Always investigate the drivers.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666666"/>
      </w:pBdr>
    </w:pPr>
    <w:r>
      <w:rPr>
        <w:rFonts w:ascii="Calibri" w:hAnsi="Calibri"/>
        <w:color w:val="666666"/>
        <w:sz w:val="18"/>
      </w:rPr>
      <w:t xml:space="preserve">[Dashboard Name] | Story Guide | Page </w:t>
    </w:r>
    <w:r>
      <w:rPr>
        <w:rFonts w:ascii="Calibri" w:hAnsi="Calibri"/>
        <w:color w:val="666666"/>
        <w:sz w:val="18"/>
      </w:rPr>
      <w:fldChar w:fldCharType="begin"/>
    </w:r>
    <w:r>
      <w:rPr>
        <w:rFonts w:ascii="Calibri" w:hAnsi="Calibri"/>
        <w:color w:val="666666"/>
        <w:sz w:val="18"/>
      </w:rPr>
      <w:instrText xml:space="preserve">PAGE</w:instrText>
    </w:r>
    <w:r>
      <w:rPr>
        <w:rFonts w:ascii="Calibri" w:hAnsi="Calibri"/>
        <w:color w:val="666666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6" w:space="1" w:color="000000"/>
      </w:pBdr>
    </w:pPr>
    <w:rPr>
      <w:rFonts w:asciiTheme="majorHAnsi" w:eastAsiaTheme="majorEastAsia" w:hAnsiTheme="majorHAnsi" w:cstheme="majorBidi" w:ascii="Calibri" w:hAnsi="Calibri"/>
      <w:b/>
      <w:bCs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/>
      <w:sz w:val="22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hanging="36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/>
    </w:pPr>
    <w:rPr>
      <w:rFonts w:ascii="Calibri" w:hAnsi="Calibri"/>
      <w:b/>
      <w:bCs/>
      <w:i/>
      <w:color w:val="666666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120" w:after="120"/>
      <w:ind w:left="360"/>
      <w:shd w:val="clear" w:color="auto" w:fill="F5F5F5"/>
    </w:pPr>
    <w:rPr>
      <w:rFonts w:ascii="Courier New" w:hAnsi="Courier New"/>
      <w:sz w:val="18"/>
    </w:rPr>
  </w:style>
  <w:style w:type="paragraph" w:customStyle="1" w:styleId="TableParagraph">
    <w:name w:val="Table Paragraph"/>
    <w:basedOn w:val="Normal"/>
    <w:pPr>
      <w:spacing w:before="60" w:after="60" w:lineRule="auto" w:line="240"/>
    </w:pPr>
    <w:rPr>
      <w:rFonts w:ascii="Calibri" w:hAnsi="Calibri"/>
      <w:sz w:val="20"/>
    </w:rPr>
  </w:style>
  <w:style w:type="paragraph" w:customStyle="1" w:styleId="TableHeading">
    <w:name w:val="Table Heading"/>
    <w:basedOn w:val="Normal"/>
    <w:pPr>
      <w:spacing w:before="60" w:after="60"/>
      <w:shd w:val="clear" w:color="auto" w:fill="2E2E2E"/>
    </w:pPr>
    <w:rPr>
      <w:rFonts w:ascii="Calibri" w:hAnsi="Calibri"/>
      <w:b/>
      <w:sz w:val="20"/>
      <w:color w:val="FFFF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