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1440E"/>
          </w:tcPr>
          <w:p>
            <w:r>
              <w:rPr>
                <w:b/>
                <w:color w:val="FFE0D0"/>
                <w:sz w:val="18"/>
              </w:rPr>
              <w:t>INFORME ESTADÍSTICO</w:t>
            </w:r>
          </w:p>
          <w:p>
            <w:r>
              <w:rPr>
                <w:b/>
                <w:color w:val="FFFFFF"/>
                <w:sz w:val="34"/>
              </w:rPr>
              <w:t>Siniestros viales en la Ciudad de Buenos Aires, 2019–2025</w:t>
            </w:r>
          </w:p>
          <w:p>
            <w:r>
              <w:rPr>
                <w:color w:val="FFE8DC"/>
                <w:sz w:val="19"/>
              </w:rPr>
              <w:t>Análisis estadístico descriptivo para el diseño de campañas de prevención focalizadas</w:t>
            </w:r>
          </w:p>
          <w:p>
            <w:r>
              <w:rPr>
                <w:color w:val="FFE8DC"/>
                <w:sz w:val="16"/>
              </w:rPr>
              <w:t>Preparado para: Agencia Nacional de Seguridad Vial (ANSV)  ·  Autor: Jeisson Marin Uribe Luis, Data Analyst  ·  Septiembre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b/>
                <w:color w:val="C1440E"/>
                <w:sz w:val="32"/>
              </w:rPr>
              <w:t>65.818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b/>
                <w:color w:val="C1440E"/>
                <w:sz w:val="32"/>
              </w:rPr>
              <w:t>75.193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b/>
                <w:color w:val="C1440E"/>
                <w:sz w:val="32"/>
              </w:rPr>
              <w:t>703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b/>
                <w:color w:val="C1440E"/>
                <w:sz w:val="32"/>
              </w:rPr>
              <w:t>26</w:t>
            </w:r>
          </w:p>
        </w:tc>
      </w:tr>
      <w:tr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color w:val="6B6B6B"/>
                <w:sz w:val="16"/>
              </w:rPr>
              <w:t>siniestros analizados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color w:val="6B6B6B"/>
                <w:sz w:val="16"/>
              </w:rPr>
              <w:t>víctimas registradas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color w:val="6B6B6B"/>
                <w:sz w:val="16"/>
              </w:rPr>
              <w:t>víctimas mortales</w:t>
            </w:r>
          </w:p>
        </w:tc>
        <w:tc>
          <w:tcPr>
            <w:tcW w:type="dxa" w:w="2409"/>
            <w:shd w:val="clear" w:color="auto" w:fill="F4F4F4"/>
          </w:tcPr>
          <w:p>
            <w:pPr>
              <w:jc w:val="center"/>
            </w:pPr>
            <w:r>
              <w:rPr>
                <w:color w:val="6B6B6B"/>
                <w:sz w:val="16"/>
              </w:rPr>
              <w:t>siniestros por día</w:t>
            </w:r>
          </w:p>
        </w:tc>
      </w:tr>
    </w:tbl>
    <w:p>
      <w:pPr>
        <w:spacing w:before="200" w:after="80"/>
        <w:pBdr>
          <w:bottom w:val="single" w:sz="10" w:space="2" w:color="C1440E"/>
        </w:pBdr>
      </w:pPr>
      <w:r>
        <w:rPr>
          <w:b/>
          <w:color w:val="C1440E"/>
          <w:sz w:val="26"/>
        </w:rPr>
        <w:t>Resumen ejecutivo</w:t>
      </w:r>
    </w:p>
    <w:p>
      <w:pPr>
        <w:jc w:val="both"/>
      </w:pPr>
      <w:r>
        <w:t xml:space="preserve">Se analizaron </w:t>
      </w:r>
      <w:r>
        <w:t>65.818 siniestros viales</w:t>
      </w:r>
      <w:r>
        <w:t xml:space="preserve"> ocurridos en la Ciudad Autónoma de Buenos Aires entre el 1 de enero de 2019 y el 31 de diciembre de 2025, publicados como dato abierto por la Secretaría de Transporte y Obras Públicas. El trabajo consistió en auditar y limpiar el archivo original, clasificar estadísticamente sus variables, construir tablas de frecuencias y medidas de tendencia central y dispersión, y responder tres preguntas de negocio planteadas por la ANSV. El análisis es descriptivo: identifica patrones y concentraciones, no relaciones de causa y efecto.</w:t>
      </w:r>
    </w:p>
    <w:p>
      <w:pPr>
        <w:jc w:val="both"/>
      </w:pPr>
      <w:r>
        <w:t xml:space="preserve">Los tres hallazgos centrales son los siguientes. Primero, </w:t>
      </w:r>
      <w:r>
        <w:t>el volumen y la gravedad ocurren en momentos distintos</w:t>
      </w:r>
      <w:r>
        <w:t xml:space="preserve">: la tarde (12 a 17 hs) concentra el 40,2 % de los siniestros, pero la madrugada (0 a 5 hs), con apenas el 8,0 % de los hechos, presenta 26,3 muertes cada 1.000 siniestros, 3,5 veces la letalidad de la tarde. Segundo, </w:t>
      </w:r>
      <w:r>
        <w:t>el riesgo se concentra en los usuarios vulnerables</w:t>
      </w:r>
      <w:r>
        <w:t xml:space="preserve">: moto, peatón y bicicleta explican el 62,4 % de los siniestros y el 87,5 % de las víctimas mortales; las motos solas representan el 37,3 % de los hechos y el 41,0 % de los fallecidos, y los peatones tienen la letalidad más alta (29,0 cada 1.000). Tercero, </w:t>
      </w:r>
      <w:r>
        <w:t>la situación empeora en frecuencia y mejora en gravedad</w:t>
      </w:r>
      <w:r>
        <w:t>: los siniestros crecieron un 15,7 % entre 2019 y 2025 (+50,3 % desde 2021), mientras las víctimas mortales bajaron un 12,5 % y la letalidad general pasó de 10,2 a 7,7 muertes cada 1.000 siniestros.</w:t>
      </w:r>
    </w:p>
    <w:p>
      <w:pPr>
        <w:jc w:val="both"/>
      </w:pPr>
      <w:r>
        <w:t xml:space="preserve">De este diagnóstico se desprenden dos recomendaciones prioritarias. </w:t>
      </w:r>
      <w:r>
        <w:t>Primera: concentrar el presupuesto de fiscalización y campañas en el usuario de moto</w:t>
      </w:r>
      <w:r>
        <w:t xml:space="preserve">, que aporta cuatro de cada diez muertes, con foco en avenidas y en la franja nocturna y de madrugada, donde la letalidad se multiplica. </w:t>
      </w:r>
      <w:r>
        <w:t>Segunda: intervenir la infraestructura de mayor letalidad</w:t>
      </w:r>
      <w:r>
        <w:t xml:space="preserve"> —avenidas (60,6 % de las muertes) y autopistas (68,2 muertes cada 1.000 siniestros)— con medidas de control de velocidad y segregación de usuarios vulnerables, y sostener un tablero de monitoreo mensual que permita medir el efecto de cada intervención.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6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fran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6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6B6B"/>
          <w:sz w:val="15"/>
        </w:rPr>
        <w:t>Figura 1. Volumen de siniestros y letalidad según franja horaria (2019-2025).</w:t>
      </w:r>
    </w:p>
    <w:p>
      <w:pPr>
        <w:spacing w:before="200" w:after="80"/>
        <w:pBdr>
          <w:bottom w:val="single" w:sz="10" w:space="2" w:color="C1440E"/>
        </w:pBdr>
      </w:pPr>
      <w:r>
        <w:rPr>
          <w:b/>
          <w:color w:val="C1440E"/>
          <w:sz w:val="26"/>
        </w:rPr>
        <w:t>1. Introducción y contexto</w:t>
      </w:r>
    </w:p>
    <w:p>
      <w:pPr>
        <w:jc w:val="both"/>
      </w:pPr>
      <w:r>
        <w:t xml:space="preserve">Los siniestros viales son la principal causa externa de muerte en Argentina. En la Ciudad de Buenos Aires se registran, en promedio, </w:t>
      </w:r>
      <w:r>
        <w:t>26 siniestros con víctimas por día</w:t>
      </w:r>
      <w:r>
        <w:t>. Los recursos de prevención —fiscalización, obra pública, campañas— son limitados y deben priorizarse: la diferencia entre “hay muchos accidentes” y “el 41 % de los fallecidos se desplazaba en moto y el 60 % de las muertes ocurre en avenidas” es la diferencia entre una política genérica y una política efectiva.</w:t>
      </w:r>
    </w:p>
    <w:p>
      <w:pPr>
        <w:jc w:val="both"/>
      </w:pPr>
      <w:r>
        <w:t xml:space="preserve">Este informe responde tres preguntas: </w:t>
      </w:r>
      <w:r>
        <w:t>(1)</w:t>
      </w:r>
      <w:r>
        <w:t xml:space="preserve"> ¿en qué momentos del día, de la semana y del año ocurren más siniestros?; </w:t>
      </w:r>
      <w:r>
        <w:t>(2)</w:t>
      </w:r>
      <w:r>
        <w:t xml:space="preserve"> ¿qué tipos de usuarios y de vías concentran la mayor cantidad de víctimas?; </w:t>
      </w:r>
      <w:r>
        <w:t>(3)</w:t>
      </w:r>
      <w:r>
        <w:t xml:space="preserve"> ¿la situación mejora, empeora o se mantiene estable?</w:t>
      </w:r>
    </w:p>
    <w:p>
      <w:pPr>
        <w:spacing w:before="200" w:after="80"/>
        <w:pBdr>
          <w:bottom w:val="single" w:sz="10" w:space="2" w:color="C1440E"/>
        </w:pBdr>
      </w:pPr>
      <w:r>
        <w:rPr>
          <w:b/>
          <w:color w:val="C1440E"/>
          <w:sz w:val="26"/>
        </w:rPr>
        <w:t>2. Datos y metodología</w:t>
      </w:r>
    </w:p>
    <w:p>
      <w:pPr>
        <w:spacing w:before="140" w:after="40"/>
      </w:pPr>
      <w:r>
        <w:rPr>
          <w:b/>
          <w:color w:val="2B2B2B"/>
          <w:sz w:val="21"/>
        </w:rPr>
        <w:t>2.1 Fuente y alcance</w:t>
      </w:r>
    </w:p>
    <w:p>
      <w:pPr>
        <w:jc w:val="both"/>
      </w:pPr>
      <w:r>
        <w:t xml:space="preserve">Dataset: “Siniestros viales (hechos)”, Buenos Aires Data, Secretaría de Transporte y Obras Públicas del Gobierno de la Ciudad de Buenos Aires. Archivo CSV de 12 MB con un registro por siniestro. Período: 01/01/2019 a 31/12/2025. Volumen: </w:t>
      </w:r>
      <w:r>
        <w:t>65.818 registros</w:t>
      </w:r>
      <w:r>
        <w:t xml:space="preserve"> y 20 variables. La unidad de análisis es el siniestro con víctimas; los hechos sin víctimas no se registran en esta base, lo que constituye la principal limitación del alcance.</w:t>
      </w:r>
    </w:p>
    <w:p>
      <w:pPr>
        <w:spacing w:before="140" w:after="40"/>
      </w:pPr>
      <w:r>
        <w:rPr>
          <w:b/>
          <w:color w:val="2B2B2B"/>
          <w:sz w:val="21"/>
        </w:rPr>
        <w:t>2.2 Auditoría y limpieza</w:t>
      </w:r>
    </w:p>
    <w:p>
      <w:pPr>
        <w:jc w:val="both"/>
      </w:pPr>
      <w:r>
        <w:t>Se verificó la unicidad de los identificadores (65.818 IDs, sin duplicados) y se trataron los problemas detectados de la siguiente manera, documentando cada decisión en la hoja Log_Limpieza del libro de análisis: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Problema detectado</w:t>
            </w:r>
          </w:p>
        </w:tc>
        <w:tc>
          <w:tcPr>
            <w:tcW w:type="dxa" w:w="3742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Decisión tomada</w:t>
            </w:r>
          </w:p>
        </w:tc>
        <w:tc>
          <w:tcPr>
            <w:tcW w:type="dxa" w:w="124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Registros</w:t>
            </w:r>
          </w:p>
        </w:tc>
      </w:tr>
      <w:tr>
        <w:tc>
          <w:tcPr>
            <w:tcW w:type="dxa" w:w="3515"/>
          </w:tcPr>
          <w:p>
            <w:pPr>
              <w:spacing w:after="20"/>
              <w:jc w:val="left"/>
            </w:pPr>
            <w:r>
              <w:rPr>
                <w:sz w:val="16"/>
              </w:rPr>
              <w:t>Total de víctimas con valor “SD”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sz w:val="16"/>
              </w:rPr>
              <w:t>Recalculado como leves + graves + mortales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3.276</w:t>
            </w:r>
          </w:p>
        </w:tc>
      </w:tr>
      <w:tr>
        <w:tc>
          <w:tcPr>
            <w:tcW w:type="dxa" w:w="3515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Comuna en dos formatos: “Comuna 8” y “8”</w:t>
            </w:r>
          </w:p>
        </w:tc>
        <w:tc>
          <w:tcPr>
            <w:tcW w:type="dxa" w:w="3742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Unificación a “Comuna N”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11.217</w:t>
            </w:r>
          </w:p>
        </w:tc>
      </w:tr>
      <w:tr>
        <w:tc>
          <w:tcPr>
            <w:tcW w:type="dxa" w:w="3515"/>
          </w:tcPr>
          <w:p>
            <w:pPr>
              <w:spacing w:after="20"/>
              <w:jc w:val="left"/>
            </w:pPr>
            <w:r>
              <w:rPr>
                <w:sz w:val="16"/>
              </w:rPr>
              <w:t>Comuna, vía, modo o contraparte con “SD” / “#¡REF!”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sz w:val="16"/>
              </w:rPr>
              <w:t>Categoría “No informado” (sin eliminar filas)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3.552 a 14.067</w:t>
            </w:r>
          </w:p>
        </w:tc>
      </w:tr>
      <w:tr>
        <w:tc>
          <w:tcPr>
            <w:tcW w:type="dxa" w:w="3515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Contraparte en mayúsculas y minúsculas</w:t>
            </w:r>
          </w:p>
        </w:tc>
        <w:tc>
          <w:tcPr>
            <w:tcW w:type="dxa" w:w="3742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Normalización con NOMPROPIO(ESPACIOS())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149</w:t>
            </w:r>
          </w:p>
        </w:tc>
      </w:tr>
      <w:tr>
        <w:tc>
          <w:tcPr>
            <w:tcW w:type="dxa" w:w="3515"/>
          </w:tcPr>
          <w:p>
            <w:pPr>
              <w:spacing w:after="20"/>
              <w:jc w:val="left"/>
            </w:pPr>
            <w:r>
              <w:rPr>
                <w:sz w:val="16"/>
              </w:rPr>
              <w:t>Hora vacía o fuera del rango 0-23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sz w:val="16"/>
              </w:rPr>
              <w:t>Categoría “No informado”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81</w:t>
            </w:r>
          </w:p>
        </w:tc>
      </w:tr>
      <w:tr>
        <w:tc>
          <w:tcPr>
            <w:tcW w:type="dxa" w:w="3515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Fecha con formato irregular (“2025-10-1”)</w:t>
            </w:r>
          </w:p>
        </w:tc>
        <w:tc>
          <w:tcPr>
            <w:tcW w:type="dxa" w:w="3742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Estandarización a AAAA-MM-DD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65.818</w:t>
            </w:r>
          </w:p>
        </w:tc>
      </w:tr>
    </w:tbl>
    <w:p>
      <w:pPr>
        <w:jc w:val="both"/>
      </w:pPr>
      <w:r>
        <w:t>Ninguna fila fue eliminada: los faltantes se tratan como categoría explícita, criterio que evita perder información válida en el resto de las variables. La contrapartida es que la categoría “No informado” alcanza el 16,6 % en modo de desplazamiento y el 19,1 % en tipo de vía —concentrada en los registros más recientes— y por eso los porcentajes por modo y por vía se leen sobre los casos informados.</w:t>
      </w:r>
    </w:p>
    <w:p>
      <w:pPr>
        <w:spacing w:before="140" w:after="40"/>
      </w:pPr>
      <w:r>
        <w:rPr>
          <w:b/>
          <w:color w:val="2B2B2B"/>
          <w:sz w:val="21"/>
        </w:rPr>
        <w:t>2.3 Clasificación de variables y herramientas</w:t>
      </w:r>
    </w:p>
    <w:p>
      <w:pPr>
        <w:jc w:val="both"/>
      </w:pPr>
      <w:r>
        <w:t xml:space="preserve">Las variables se clasificaron según tipo y escala de medición. </w:t>
      </w:r>
      <w:r>
        <w:t>Cuantitativas discretas</w:t>
      </w:r>
      <w:r>
        <w:t xml:space="preserve">: número de víctimas (escala de razón, admite el cero absoluto) y hora del siniestro (escala de intervalo: el 0 es la medianoche, no la ausencia de tiempo). </w:t>
      </w:r>
      <w:r>
        <w:t>Cualitativas ordinales</w:t>
      </w:r>
      <w:r>
        <w:t xml:space="preserve">: franja horaria, día de la semana, mes y gravedad (Leve &lt; Grave &lt; Mortal). </w:t>
      </w:r>
      <w:r>
        <w:t>Cualitativas nominales</w:t>
      </w:r>
      <w:r>
        <w:t>: comuna, tipo de vía, modo de desplazamiento y contraparte. Esta clasificación determina qué medidas son válidas: para las cualitativas nominales solo la moda, y para todas ellas el gráfico correcto son las barras, nunca el histograma.</w:t>
      </w:r>
    </w:p>
    <w:p>
      <w:pPr>
        <w:jc w:val="both"/>
      </w:pPr>
      <w:r>
        <w:t>Herramientas: Microsoft Excel para las tablas de frecuencias, las medidas descriptivas y los gráficos; el libro de análisis conserva todas las fórmulas activas.</w:t>
      </w:r>
    </w:p>
    <w:p>
      <w:pPr>
        <w:spacing w:before="200" w:after="80"/>
        <w:pBdr>
          <w:bottom w:val="single" w:sz="10" w:space="2" w:color="C1440E"/>
        </w:pBdr>
      </w:pPr>
      <w:r>
        <w:rPr>
          <w:b/>
          <w:color w:val="C1440E"/>
          <w:sz w:val="26"/>
        </w:rPr>
        <w:t>3. Resultados</w:t>
      </w:r>
    </w:p>
    <w:p>
      <w:pPr>
        <w:spacing w:before="140" w:after="40"/>
      </w:pPr>
      <w:r>
        <w:rPr>
          <w:b/>
          <w:color w:val="2B2B2B"/>
          <w:sz w:val="21"/>
        </w:rPr>
        <w:t>3.1 ¿Cuándo ocurren los siniestros? (pregunta 1)</w:t>
      </w:r>
    </w:p>
    <w:p>
      <w:pPr>
        <w:jc w:val="both"/>
      </w:pPr>
      <w:r>
        <w:t>La distribución horaria es marcadamente diurna: la tarde concentra el 40,2 % de los siniestros, seguida por la noche (27,2 %) y la mañana (24,4 %); la madrugada apenas reúne el 8,0 %. La hora modal son las 17 hs (4.748 siniestros) y la de menor frecuencia las 4 de la madrugada (454). La media de la hora del siniestro es 13,6 con un desvío de 5,5 horas.</w:t>
      </w:r>
    </w:p>
    <w:p>
      <w:pPr>
        <w:jc w:val="both"/>
      </w:pPr>
      <w:r>
        <w:t xml:space="preserve">La lectura cambia al medir gravedad en lugar de volumen: </w:t>
      </w:r>
      <w:r>
        <w:t>la letalidad se invierte respecto de la frecuencia</w:t>
      </w:r>
      <w:r>
        <w:t>. Cada 1.000 siniestros, mueren 26,3 personas en la madrugada, 12,6 por la mañana, 9,0 de noche y 7,6 por la tarde. La madrugada es, con diferencia, la franja más peligrosa aunque sea la más tranquila en volumen.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268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Franja horaria</w:t>
            </w:r>
          </w:p>
        </w:tc>
        <w:tc>
          <w:tcPr>
            <w:tcW w:type="dxa" w:w="124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Siniestros</w:t>
            </w:r>
          </w:p>
        </w:tc>
        <w:tc>
          <w:tcPr>
            <w:tcW w:type="dxa" w:w="113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del total</w:t>
            </w:r>
          </w:p>
        </w:tc>
        <w:tc>
          <w:tcPr>
            <w:tcW w:type="dxa" w:w="124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acumulado</w:t>
            </w:r>
          </w:p>
        </w:tc>
        <w:tc>
          <w:tcPr>
            <w:tcW w:type="dxa" w:w="113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Víctimas</w:t>
            </w:r>
          </w:p>
        </w:tc>
        <w:tc>
          <w:tcPr>
            <w:tcW w:type="dxa" w:w="96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Mortales</w:t>
            </w:r>
          </w:p>
        </w:tc>
        <w:tc>
          <w:tcPr>
            <w:tcW w:type="dxa" w:w="164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Muertes cada 1.000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Tarde (12-17 hs)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26.474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40,2 %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40,2 %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29.959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1644"/>
          </w:tcPr>
          <w:p>
            <w:pPr>
              <w:spacing w:after="20"/>
              <w:jc w:val="center"/>
            </w:pPr>
            <w:r>
              <w:rPr>
                <w:sz w:val="16"/>
              </w:rPr>
              <w:t>7,6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Noche (18-23 hs)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17.920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27,2 %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67,4 %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20.328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64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9,0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Mañana (6-11 hs)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16.086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24,4 %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91,8 %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18.554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1644"/>
          </w:tcPr>
          <w:p>
            <w:pPr>
              <w:spacing w:after="20"/>
              <w:jc w:val="center"/>
            </w:pPr>
            <w:r>
              <w:rPr>
                <w:sz w:val="16"/>
              </w:rPr>
              <w:t>12,6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Madrugada (0-5 hs)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5.257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8,0 %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99,9 %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6.256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64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26,3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No informado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0,1 %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100,0 %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644"/>
          </w:tcPr>
          <w:p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TOTAL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65.818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100,0 %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75.193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164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10,7</w:t>
            </w:r>
          </w:p>
        </w:tc>
      </w:tr>
    </w:tbl>
    <w:p>
      <w:pPr>
        <w:jc w:val="both"/>
      </w:pPr>
      <w:r>
        <w:t xml:space="preserve">En la semana, el viernes es el día con más siniestros (11.120; 16,9 %) y el domingo el que menos (5.849; 8,9 %). El cruce de día y franja identifica el momento de mayor volumen: </w:t>
      </w:r>
      <w:r>
        <w:t>el viernes por la tarde, con 4.672 siniestros, el 7,1 % de todo el período</w:t>
      </w:r>
      <w:r>
        <w:t>. Los cinco días hábiles en la franja de la tarde reúnen el 33,4 % de los hechos, un patrón asociado a los desplazamientos laborales.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9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6B6B"/>
          <w:sz w:val="15"/>
        </w:rPr>
        <w:t>Figura 2. Siniestros por día de la semana y franja horaria. La franja 0-11 hs agrupa madrugada y mañana.</w:t>
      </w:r>
    </w:p>
    <w:p>
      <w:pPr>
        <w:jc w:val="both"/>
      </w:pPr>
      <w:r>
        <w:t>La estacionalidad es moderada: octubre (9,4 %) y diciembre (9,1 %) son los meses de mayor actividad y enero (7,0 %) y febrero (7,1 %) los de menor, consistente con el receso estival. Diciembre concentra además el mayor número de muertes del año (73).</w:t>
      </w:r>
    </w:p>
    <w:p>
      <w:pPr>
        <w:spacing w:before="140" w:after="40"/>
      </w:pPr>
      <w:r>
        <w:rPr>
          <w:b/>
          <w:color w:val="2B2B2B"/>
          <w:sz w:val="21"/>
        </w:rPr>
        <w:t>3.2 ¿Qué usuarios y qué vías concentran las víctimas? (pregunta 2)</w:t>
      </w:r>
    </w:p>
    <w:p>
      <w:pPr>
        <w:jc w:val="both"/>
      </w:pPr>
      <w:r>
        <w:t xml:space="preserve">El modo de desplazamiento de la víctima ordena el problema con claridad. Sobre los casos informados, </w:t>
      </w:r>
      <w:r>
        <w:t>la moto participa en el 37,3 % de los siniestros y aporta el 41,0 % de las víctimas mortales</w:t>
      </w:r>
      <w:r>
        <w:t>. El peatón, con el 14,3 % de los hechos, explica el 38,8 % de las muertes y presenta la letalidad más alta del conjunto: 29,0 muertes cada 1.000 siniestros. Sumados a la bicicleta, los tres usuarios vulnerables reúnen el 62,4 % de los siniestros y el 87,5 % de los fallecidos.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268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Modo de desplazamiento</w:t>
            </w:r>
          </w:p>
        </w:tc>
        <w:tc>
          <w:tcPr>
            <w:tcW w:type="dxa" w:w="1191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Siniestros</w:t>
            </w:r>
          </w:p>
        </w:tc>
        <w:tc>
          <w:tcPr>
            <w:tcW w:type="dxa" w:w="1191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siniestros</w:t>
            </w:r>
          </w:p>
        </w:tc>
        <w:tc>
          <w:tcPr>
            <w:tcW w:type="dxa" w:w="113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Víctimas</w:t>
            </w:r>
          </w:p>
        </w:tc>
        <w:tc>
          <w:tcPr>
            <w:tcW w:type="dxa" w:w="964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Mortales</w:t>
            </w:r>
          </w:p>
        </w:tc>
        <w:tc>
          <w:tcPr>
            <w:tcW w:type="dxa" w:w="107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muertes</w:t>
            </w:r>
          </w:p>
        </w:tc>
        <w:tc>
          <w:tcPr>
            <w:tcW w:type="dxa" w:w="124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Muertes/1.000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Moto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24.555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37,3 %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26.885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288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>
              <w:rPr>
                <w:sz w:val="16"/>
              </w:rPr>
              <w:t>41,0 %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11,7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Peatón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9.415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14,3 %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10.097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107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38,8 %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29,0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Bicicleta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7.091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10,8 %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7.299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>
              <w:rPr>
                <w:sz w:val="16"/>
              </w:rPr>
              <w:t>7,7 %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7,6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Auto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7.073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10,7 %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9.399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07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8,5 %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8,5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Transporte público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3.633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5,5 %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4.695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>
              <w:rPr>
                <w:sz w:val="16"/>
              </w:rPr>
              <w:t>0,9 %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1,7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Taxi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1,2 %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1.071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7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0,1 %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1,2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sz w:val="16"/>
              </w:rPr>
              <w:t>Otros modos (7 categorías)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2.312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sz w:val="16"/>
              </w:rPr>
              <w:t>3,5 %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>
              <w:rPr>
                <w:sz w:val="16"/>
              </w:rPr>
              <w:t>3.319</w:t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>
              <w:rPr>
                <w:sz w:val="16"/>
              </w:rPr>
              <w:t>3,0 %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sz w:val="16"/>
              </w:rPr>
              <w:t>9,1</w:t>
            </w:r>
          </w:p>
        </w:tc>
      </w:tr>
      <w:tr>
        <w:tc>
          <w:tcPr>
            <w:tcW w:type="dxa" w:w="2268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No informado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10.929</w:t>
            </w:r>
          </w:p>
        </w:tc>
        <w:tc>
          <w:tcPr>
            <w:tcW w:type="dxa" w:w="1191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16,6 %</w:t>
            </w:r>
          </w:p>
        </w:tc>
        <w:tc>
          <w:tcPr>
            <w:tcW w:type="dxa" w:w="113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12.428</w:t>
            </w:r>
          </w:p>
        </w:tc>
        <w:tc>
          <w:tcPr>
            <w:tcW w:type="dxa" w:w="964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7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0,0 %</w:t>
            </w:r>
          </w:p>
        </w:tc>
        <w:tc>
          <w:tcPr>
            <w:tcW w:type="dxa" w:w="124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</w:tr>
    </w:tbl>
    <w:p>
      <w:pPr>
        <w:jc w:val="both"/>
      </w:pPr>
      <w:r>
        <w:t xml:space="preserve">El tipo de vía agrega la dimensión de infraestructura. Las avenidas concentran el 46,4 % de los siniestros y el 60,6 % de las muertes; las calles, el 28,6 % de los hechos y el 21,3 % de los fallecidos. </w:t>
      </w:r>
      <w:r>
        <w:t>Las autopistas, con apenas el 1,6 % de los siniestros, registran 68,2 muertes cada 1.000</w:t>
      </w:r>
      <w:r>
        <w:t>, 8,5 veces la letalidad de una calle, y la Av. General Paz 19,2. Es el patrón esperable por velocidad de circulación, y señala dónde una reducción de velocidad tiene mayor rendimiento en vidas.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61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letalidad_m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6B6B"/>
          <w:sz w:val="15"/>
        </w:rPr>
        <w:t>Figura 3. Letalidad por modo de desplazamiento: muertes cada 1.000 siniestros.</w:t>
      </w:r>
    </w:p>
    <w:p>
      <w:pPr>
        <w:spacing w:before="140" w:after="40"/>
      </w:pPr>
      <w:r>
        <w:rPr>
          <w:b/>
          <w:color w:val="2B2B2B"/>
          <w:sz w:val="21"/>
        </w:rPr>
        <w:t>3.3 Cuántas víctimas deja cada siniestro</w:t>
      </w:r>
    </w:p>
    <w:p>
      <w:pPr>
        <w:jc w:val="both"/>
      </w:pPr>
      <w:r>
        <w:t xml:space="preserve">La variable “víctimas por siniestro” tiene media 1,14, mediana 1, moda 1 y desvío estándar 0,51 (CV 44,9 %). El rango intercuartílico es cero: el 50 % central de los datos se concentra en un único valor. El </w:t>
      </w:r>
      <w:r>
        <w:t>89,7 % de los siniestros involucra una sola víctima</w:t>
      </w:r>
      <w:r>
        <w:t xml:space="preserve"> y solo el 2,2 % tres o más, aunque el máximo del período alcanzó 26 víctimas en un hecho. Que la media supere a la mediana confirma una distribución asimétrica positiva con cola larga hacia la derecha: pocos eventos multitudinarios elevan el promedio.</w:t>
      </w:r>
    </w:p>
    <w:p>
      <w:pPr>
        <w:jc w:val="both"/>
      </w:pPr>
      <w:r>
        <w:t>La implicancia de política pública es directa: el problema de la Ciudad no son los siniestros masivos sino la altísima frecuencia de hechos individuales. Por modo, la excepción son auto y taxi, donde el 22,1 % y el 21,5 % de los siniestros involucran dos o más víctimas —viajan acompañados— frente al 8,8 % en moto.</w:t>
      </w:r>
    </w:p>
    <w:p>
      <w:pPr>
        <w:spacing w:before="140" w:after="40"/>
      </w:pPr>
      <w:r>
        <w:rPr>
          <w:b/>
          <w:color w:val="2B2B2B"/>
          <w:sz w:val="21"/>
        </w:rPr>
        <w:t>3.4 ¿Mejora o empeora? (pregunta 3)</w:t>
      </w:r>
    </w:p>
    <w:p>
      <w:pPr>
        <w:jc w:val="both"/>
      </w:pPr>
      <w:r>
        <w:t xml:space="preserve">La serie anual muestra dos movimientos opuestos. Los siniestros pasaron de 10.155 en 2019 a </w:t>
      </w:r>
      <w:r>
        <w:t>11.752 en 2025, el máximo del período (+15,7 %)</w:t>
      </w:r>
      <w:r>
        <w:t>; medido desde el piso post-pandemia de 2021 el crecimiento es del 50,3 %. La tendencia lineal es positiva (+568 siniestros por año) pero con un ajuste bajo (R² = 0,42), consecuencia del corte abrupto de 2020 por las restricciones de circulación, cuando los siniestros cayeron a 6.061.</w:t>
      </w:r>
    </w:p>
    <w:p>
      <w:pPr>
        <w:jc w:val="both"/>
      </w:pPr>
      <w:r>
        <w:t xml:space="preserve">Las víctimas mortales siguen el camino inverso: 104 en 2019 y </w:t>
      </w:r>
      <w:r>
        <w:t>91 en 2025 (-12,5 %)</w:t>
      </w:r>
      <w:r>
        <w:t>, sin tendencia lineal significativa (R² = 0,05). La letalidad general descendió de 10,2 a 7,7 muertes cada 1.000 siniestros. Se observa, entonces, un sistema con más exposición al riesgo pero con consecuencias menos graves por evento.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26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evol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6B6B"/>
          <w:sz w:val="15"/>
        </w:rPr>
        <w:t>Figura 4. Evolución anual de siniestros (con tendencia lineal) y de víctimas mortales.</w:t>
      </w:r>
    </w:p>
    <w:p>
      <w:pPr>
        <w:spacing w:before="200" w:after="80"/>
        <w:pBdr>
          <w:bottom w:val="single" w:sz="10" w:space="2" w:color="C1440E"/>
        </w:pBdr>
      </w:pPr>
      <w:r>
        <w:rPr>
          <w:b/>
          <w:color w:val="C1440E"/>
          <w:sz w:val="26"/>
        </w:rPr>
        <w:t>4. Conclusiones y recomendaciones</w:t>
      </w:r>
    </w:p>
    <w:p>
      <w:pPr>
        <w:spacing w:before="140" w:after="40"/>
      </w:pPr>
      <w:r>
        <w:rPr>
          <w:b/>
          <w:color w:val="2B2B2B"/>
          <w:sz w:val="21"/>
        </w:rPr>
        <w:t>4.1 Respuesta a las tres preguntas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7597"/>
            <w:shd w:val="clear" w:color="auto" w:fill="C1440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Respuesta con evidencia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sz w:val="16"/>
              </w:rPr>
              <w:t>¿Cuándo ocurren más?</w:t>
            </w:r>
          </w:p>
        </w:tc>
        <w:tc>
          <w:tcPr>
            <w:tcW w:type="dxa" w:w="7597"/>
          </w:tcPr>
          <w:p>
            <w:pPr>
              <w:spacing w:after="20"/>
              <w:jc w:val="center"/>
            </w:pPr>
            <w:r>
              <w:rPr>
                <w:sz w:val="16"/>
              </w:rPr>
              <w:t>La tarde (12-17 hs) concentra el 40,2 % y el viernes es el día pico (16,9 %); el momento de mayor volumen es el viernes por la tarde (7,1 % del total). En gravedad, la madrugada lidera con 26,3 muertes cada 1.000 siniestros.</w:t>
            </w:r>
          </w:p>
        </w:tc>
      </w:tr>
      <w:tr>
        <w:tc>
          <w:tcPr>
            <w:tcW w:type="dxa" w:w="2041"/>
            <w:shd w:val="clear" w:color="auto" w:fill="F7F2F0"/>
          </w:tcPr>
          <w:p>
            <w:pPr>
              <w:spacing w:after="20"/>
              <w:jc w:val="left"/>
            </w:pPr>
            <w:r>
              <w:rPr>
                <w:sz w:val="16"/>
              </w:rPr>
              <w:t>¿Qué vehículos y vías?</w:t>
            </w:r>
          </w:p>
        </w:tc>
        <w:tc>
          <w:tcPr>
            <w:tcW w:type="dxa" w:w="7597"/>
            <w:shd w:val="clear" w:color="auto" w:fill="F7F2F0"/>
          </w:tcPr>
          <w:p>
            <w:pPr>
              <w:spacing w:after="20"/>
              <w:jc w:val="center"/>
            </w:pPr>
            <w:r>
              <w:rPr>
                <w:sz w:val="16"/>
              </w:rPr>
              <w:t>Moto, peatón y bicicleta: 62,4 % de los siniestros y 87,5 % de las muertes. Avenidas: 46,4 % de los hechos y 60,6 % de las muertes; autopistas: la mayor letalidad (68,2 cada 1.000).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sz w:val="16"/>
              </w:rPr>
              <w:t>¿Mejora o empeora?</w:t>
            </w:r>
          </w:p>
        </w:tc>
        <w:tc>
          <w:tcPr>
            <w:tcW w:type="dxa" w:w="7597"/>
          </w:tcPr>
          <w:p>
            <w:pPr>
              <w:spacing w:after="20"/>
              <w:jc w:val="center"/>
            </w:pPr>
            <w:r>
              <w:rPr>
                <w:sz w:val="16"/>
              </w:rPr>
              <w:t>Empeora en frecuencia (+15,7 % de siniestros desde 2019) y mejora en gravedad (-12,5 % de muertes; letalidad de 10,2 a 7,7 cada 1.000).</w:t>
            </w:r>
          </w:p>
        </w:tc>
      </w:tr>
    </w:tbl>
    <w:p>
      <w:pPr>
        <w:spacing w:before="140" w:after="40"/>
      </w:pPr>
      <w:r>
        <w:rPr>
          <w:b/>
          <w:color w:val="2B2B2B"/>
          <w:sz w:val="21"/>
        </w:rPr>
        <w:t>4.2 Recomendaciones para la ANSV</w:t>
      </w:r>
    </w:p>
    <w:p>
      <w:pPr>
        <w:pStyle w:val="ListNumber"/>
        <w:spacing w:after="60"/>
        <w:jc w:val="both"/>
      </w:pPr>
      <w:r>
        <w:rPr>
          <w:b/>
          <w:color w:val="C1440E"/>
        </w:rPr>
        <w:t xml:space="preserve">Priorizar al usuario de moto con un programa específico. </w:t>
      </w:r>
      <w:r>
        <w:t>Concentra el 37,3 % de los siniestros y el 41,0 % de las muertes. Fiscalización de casco y velocidad en avenidas, en franja nocturna y de madrugada, y campañas dirigidas a ese perfil de usuario.</w:t>
      </w:r>
    </w:p>
    <w:p>
      <w:pPr>
        <w:pStyle w:val="ListNumber"/>
        <w:spacing w:after="60"/>
        <w:jc w:val="both"/>
      </w:pPr>
      <w:r>
        <w:rPr>
          <w:b/>
          <w:color w:val="C1440E"/>
        </w:rPr>
        <w:t xml:space="preserve">Intervenir la infraestructura de mayor letalidad. </w:t>
      </w:r>
      <w:r>
        <w:t>Avenidas y autopistas concentran la mortalidad por velocidad de circulación: control de velocidad, cruces peatonales protegidos y segregación de ciclistas y motos donde la densidad lo permita.</w:t>
      </w:r>
    </w:p>
    <w:p>
      <w:pPr>
        <w:pStyle w:val="ListNumber"/>
        <w:spacing w:after="60"/>
        <w:jc w:val="both"/>
      </w:pPr>
      <w:r>
        <w:rPr>
          <w:b/>
          <w:color w:val="C1440E"/>
        </w:rPr>
        <w:t xml:space="preserve">Diseñar campañas diferenciadas por franja horaria. </w:t>
      </w:r>
      <w:r>
        <w:t>Las de volumen (tarde y hora pico laboral) buscan reducir la cantidad de hechos; las de madrugada —donde la letalidad se triplica— deben apuntar a velocidad y a conducción tras consumo de alcohol.</w:t>
      </w:r>
    </w:p>
    <w:p>
      <w:pPr>
        <w:pStyle w:val="ListNumber"/>
        <w:spacing w:after="60"/>
        <w:jc w:val="both"/>
      </w:pPr>
      <w:r>
        <w:rPr>
          <w:b/>
          <w:color w:val="C1440E"/>
        </w:rPr>
        <w:t xml:space="preserve">Sostener un monitoreo mensual con estos indicadores. </w:t>
      </w:r>
      <w:r>
        <w:t>La caída de la letalidad sugiere que algo está funcionando; medirla mes a mes permite atribuir resultados a intervenciones concretas.</w:t>
      </w:r>
    </w:p>
    <w:p>
      <w:pPr>
        <w:pStyle w:val="ListNumber"/>
        <w:spacing w:after="60"/>
        <w:jc w:val="both"/>
      </w:pPr>
      <w:r>
        <w:rPr>
          <w:b/>
          <w:color w:val="C1440E"/>
        </w:rPr>
        <w:t xml:space="preserve">Mejorar la calidad del dato en origen. </w:t>
      </w:r>
      <w:r>
        <w:t>El 16,6 % de los registros no informa el modo de desplazamiento y el 19,1 % el tipo de vía, justo las variables que ordenan la política pública. Un formulario de carga con listas cerradas y campos obligatorios haría más preciso este análisis.</w:t>
      </w:r>
    </w:p>
    <w:p>
      <w:pPr>
        <w:spacing w:before="140" w:after="40"/>
      </w:pPr>
      <w:r>
        <w:rPr>
          <w:b/>
          <w:color w:val="2B2B2B"/>
          <w:sz w:val="21"/>
        </w:rPr>
        <w:t>4.3 Limitaciones</w:t>
      </w:r>
    </w:p>
    <w:p>
      <w:pPr>
        <w:jc w:val="both"/>
      </w:pPr>
      <w:r>
        <w:t>El registro incluye únicamente siniestros con víctimas informados a la autoridad: los hechos con daños materiales o no reportados quedan fuera, por lo que las cifras son un piso. El análisis es descriptivo y no establece causalidad; tampoco incorpora exposición (cantidad de motos, autos o peatones circulando), de modo que la letalidad por modo mide gravedad del hecho y no riesgo individual. Por último, las categorías “No informado” en modo, vía y comuna se concentran en los años recientes y podrían sesgar comparaciones interanuales de esas variables.</w:t>
      </w:r>
    </w:p>
    <w:p>
      <w:pPr>
        <w:spacing w:before="140" w:after="40"/>
      </w:pPr>
      <w:r>
        <w:rPr>
          <w:b/>
          <w:color w:val="2B2B2B"/>
          <w:sz w:val="21"/>
        </w:rPr>
        <w:t>Referencias</w:t>
      </w:r>
    </w:p>
    <w:p>
      <w:r>
        <w:t xml:space="preserve">Gobierno de la Ciudad de Buenos Aires, Secretaría de Transporte y Obras Públicas (2026). </w:t>
      </w:r>
      <w:r>
        <w:t>Siniestros viales — hechos 2019-2025</w:t>
      </w:r>
      <w:r>
        <w:t xml:space="preserve"> [conjunto de datos abiertos]. Buenos Aires Data. https://data.buenosaires.gob.ar/dataset/victimas-siniestros-viales</w:t>
      </w:r>
    </w:p>
    <w:p>
      <w:r>
        <w:t>Repositorio del proyecto, con el libro de análisis y todas las tablas: github.com/ujeisson-alt/analisis-siniestros-viales-caba</w:t>
      </w:r>
    </w:p>
    <w:sectPr w:rsidR="00FC693F" w:rsidRPr="0006063C" w:rsidSect="00034616"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