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BD9B" w14:textId="77777777" w:rsidR="00B95D15" w:rsidRDefault="00213D54">
      <w:pPr>
        <w:spacing w:after="60"/>
        <w:jc w:val="center"/>
      </w:pPr>
      <w:r>
        <w:rPr>
          <w:b/>
          <w:bCs/>
          <w:color w:val="1B5E20"/>
          <w:sz w:val="36"/>
          <w:szCs w:val="36"/>
        </w:rPr>
        <w:t>DIAGNÓSTICO DE GENERACIÓN DE RESIDUOS URBANOS</w:t>
      </w:r>
    </w:p>
    <w:p w14:paraId="4352CF35" w14:textId="77777777" w:rsidR="00B95D15" w:rsidRDefault="00213D54">
      <w:pPr>
        <w:spacing w:after="40"/>
        <w:jc w:val="center"/>
      </w:pPr>
      <w:r>
        <w:rPr>
          <w:i/>
          <w:iCs/>
          <w:color w:val="455A64"/>
          <w:sz w:val="26"/>
          <w:szCs w:val="26"/>
        </w:rPr>
        <w:t>Reporte Ejecutivo</w:t>
      </w:r>
    </w:p>
    <w:p w14:paraId="5AE3ED4F" w14:textId="66457F56" w:rsidR="00B95D15" w:rsidRDefault="00213D54">
      <w:pPr>
        <w:spacing w:after="400"/>
        <w:jc w:val="center"/>
      </w:pPr>
      <w:r>
        <w:rPr>
          <w:color w:val="455A64"/>
        </w:rPr>
        <w:t xml:space="preserve">Preparado para: </w:t>
      </w:r>
      <w:proofErr w:type="gramStart"/>
      <w:r>
        <w:rPr>
          <w:color w:val="455A64"/>
        </w:rPr>
        <w:t xml:space="preserve">Dirección </w:t>
      </w:r>
      <w:r>
        <w:rPr>
          <w:color w:val="455A64"/>
        </w:rPr>
        <w:t xml:space="preserve"> </w:t>
      </w:r>
      <w:proofErr w:type="spellStart"/>
      <w:r>
        <w:rPr>
          <w:color w:val="455A64"/>
        </w:rPr>
        <w:t>EcoData</w:t>
      </w:r>
      <w:proofErr w:type="spellEnd"/>
      <w:proofErr w:type="gramEnd"/>
      <w:r>
        <w:rPr>
          <w:color w:val="455A64"/>
        </w:rPr>
        <w:t xml:space="preserve">  |  Julio 2026</w:t>
      </w:r>
    </w:p>
    <w:p w14:paraId="7513CD5B" w14:textId="77777777" w:rsidR="00B95D15" w:rsidRDefault="00213D54">
      <w:pPr>
        <w:pStyle w:val="Ttulo1"/>
        <w:spacing w:before="300" w:after="150"/>
      </w:pPr>
      <w:r>
        <w:rPr>
          <w:b/>
          <w:bCs/>
          <w:color w:val="1B5E20"/>
          <w:sz w:val="30"/>
          <w:szCs w:val="30"/>
        </w:rPr>
        <w:t>1. Introducción</w:t>
      </w:r>
    </w:p>
    <w:p w14:paraId="13BA1E36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El presente informe resume los resultados del diagnóstico realizado sobre la generación de residuos sólidos urbanos, con base en el análisis de 1.040 registros validados, correspondientes al período comprendido entre 2024 y el primer trimestre de 2026, dis</w:t>
      </w:r>
      <w:r>
        <w:rPr>
          <w:sz w:val="22"/>
          <w:szCs w:val="22"/>
        </w:rPr>
        <w:t>tribuidos en ocho provincias y seis categorías de residuo (Orgánico, Plásticos, Papel y Cartón, Vidrio, Metales y Peligrosos).</w:t>
      </w:r>
    </w:p>
    <w:p w14:paraId="6625C4B9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 xml:space="preserve">El objetivo de este análisis es identificar patrones de generación por región, tipo de residuo y periodo temporal, con el fin de </w:t>
      </w:r>
      <w:r>
        <w:rPr>
          <w:sz w:val="22"/>
          <w:szCs w:val="22"/>
        </w:rPr>
        <w:t>aportar evidencia cuantitativa que respalde la toma de decisiones de política pública y la definición de prioridades de intervención.</w:t>
      </w:r>
    </w:p>
    <w:p w14:paraId="51F8D582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Es importante señalar que los datos correspondientes al año 2026 abarcan únicamente el período de enero a marzo (104 regis</w:t>
      </w:r>
      <w:r>
        <w:rPr>
          <w:sz w:val="22"/>
          <w:szCs w:val="22"/>
        </w:rPr>
        <w:t>tros), por lo que las cifras de ese año se presentan como parciales y no deben compararse directamente con los totales anuales completos de 2024 y 2025.</w:t>
      </w:r>
    </w:p>
    <w:p w14:paraId="5223B012" w14:textId="77777777" w:rsidR="00B95D15" w:rsidRDefault="00213D54">
      <w:pPr>
        <w:pStyle w:val="Ttulo1"/>
        <w:spacing w:before="300" w:after="150"/>
      </w:pPr>
      <w:r>
        <w:rPr>
          <w:b/>
          <w:bCs/>
          <w:color w:val="1B5E20"/>
          <w:sz w:val="30"/>
          <w:szCs w:val="30"/>
        </w:rPr>
        <w:t>2. Hallazgos Principales</w:t>
      </w:r>
    </w:p>
    <w:p w14:paraId="3E268632" w14:textId="77777777" w:rsidR="00B95D15" w:rsidRDefault="00213D54">
      <w:pPr>
        <w:pStyle w:val="Ttulo2"/>
        <w:spacing w:before="240" w:after="120"/>
      </w:pPr>
      <w:r>
        <w:rPr>
          <w:b/>
          <w:bCs/>
          <w:color w:val="2E7D32"/>
          <w:sz w:val="24"/>
          <w:szCs w:val="24"/>
        </w:rPr>
        <w:t>2.1 Volumen total y comportamiento general</w:t>
      </w:r>
    </w:p>
    <w:p w14:paraId="66F6F5F7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Se registró un volumen total de 2.5</w:t>
      </w:r>
      <w:r>
        <w:rPr>
          <w:sz w:val="22"/>
          <w:szCs w:val="22"/>
        </w:rPr>
        <w:t>05.016,55 toneladas de residuos en el período analizado, con un promedio de 2.408,67 toneladas por registro y una mediana de 2.003,16 toneladas. La media supera a la mediana en 405,51 toneladas (aproximadamente un 20% por encima), lo que indica la presenci</w:t>
      </w:r>
      <w:r>
        <w:rPr>
          <w:sz w:val="22"/>
          <w:szCs w:val="22"/>
        </w:rPr>
        <w:t>a de valores atípicos: un grupo reducido de registros con generación desproporcionadamente alta que eleva el promedio general.</w:t>
      </w:r>
    </w:p>
    <w:p w14:paraId="2B4701B6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Esta observación se confirma al analizar la categorización por volumen: si bien el 72,4% de los registros se clasifica como "Volu</w:t>
      </w:r>
      <w:r>
        <w:rPr>
          <w:sz w:val="22"/>
          <w:szCs w:val="22"/>
        </w:rPr>
        <w:t>men Medio" y un 20,0% como "Volumen Bajo", el 7,6% restante clasificado como "Volumen Alto" concentra el 20,3% de las toneladas totales generadas. Es decir, un grupo minoritario de eventos de generación explica una quinta parte del volumen total.</w:t>
      </w:r>
    </w:p>
    <w:p w14:paraId="5E197C0E" w14:textId="77777777" w:rsidR="00B95D15" w:rsidRDefault="00213D54">
      <w:pPr>
        <w:pStyle w:val="Ttulo2"/>
        <w:spacing w:before="240" w:after="120"/>
      </w:pPr>
      <w:r>
        <w:rPr>
          <w:b/>
          <w:bCs/>
          <w:color w:val="2E7D32"/>
          <w:sz w:val="24"/>
          <w:szCs w:val="24"/>
        </w:rPr>
        <w:t>2.2 Distr</w:t>
      </w:r>
      <w:r>
        <w:rPr>
          <w:b/>
          <w:bCs/>
          <w:color w:val="2E7D32"/>
          <w:sz w:val="24"/>
          <w:szCs w:val="24"/>
        </w:rPr>
        <w:t>ibución por tipo de residuo</w:t>
      </w:r>
    </w:p>
    <w:p w14:paraId="12B9163B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Los plásticos constituyen la categoría de mayor generación, con 828.534,25 toneladas acumuladas (33,1% del total), seguidos por los residuos orgánicos con 632.294,35 toneladas (25,2%) y el vidrio con 425.853,77 toneladas (17,0%)</w:t>
      </w:r>
      <w:r>
        <w:rPr>
          <w:sz w:val="22"/>
          <w:szCs w:val="22"/>
        </w:rPr>
        <w:t>. En conjunto, estas tres categorías representan el 75,3% del volumen total de residuos generados.</w:t>
      </w:r>
    </w:p>
    <w:p w14:paraId="6196938C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Al comparar los años completos disponibles (2024 y 2025), se observa un incremento del 3,46% en la generación de plásticos, que pasó de 371.381,35 a 384.227,</w:t>
      </w:r>
      <w:r>
        <w:rPr>
          <w:sz w:val="22"/>
          <w:szCs w:val="22"/>
        </w:rPr>
        <w:t xml:space="preserve">41 toneladas. Este incremento, aunque </w:t>
      </w:r>
      <w:r>
        <w:rPr>
          <w:sz w:val="22"/>
          <w:szCs w:val="22"/>
        </w:rPr>
        <w:lastRenderedPageBreak/>
        <w:t xml:space="preserve">moderado, es consistente con la tendencia de crecimiento sostenido que se observa también en el volumen total generado durante ambos años (1.134.935,37 y 1.133.082,49 toneladas respectivamente, una variación de apenas </w:t>
      </w:r>
      <w:r>
        <w:rPr>
          <w:sz w:val="22"/>
          <w:szCs w:val="22"/>
        </w:rPr>
        <w:t>-0,16%, es decir, un volumen prácticamente estable año a año).</w:t>
      </w:r>
    </w:p>
    <w:p w14:paraId="68A751F3" w14:textId="77777777" w:rsidR="00B95D15" w:rsidRDefault="00213D54">
      <w:pPr>
        <w:pStyle w:val="Ttulo2"/>
        <w:spacing w:before="240" w:after="120"/>
      </w:pPr>
      <w:r>
        <w:rPr>
          <w:b/>
          <w:bCs/>
          <w:color w:val="2E7D32"/>
          <w:sz w:val="24"/>
          <w:szCs w:val="24"/>
        </w:rPr>
        <w:t>2.3 Distribución geográfica</w:t>
      </w:r>
    </w:p>
    <w:p w14:paraId="75FFCD49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Buenos Aires es la provincia con mayor generación acumulada de residuos, con 355.590,17 toneladas, seguida de Tucumán (339.597,91 toneladas) y Córdoba (326.004,73 to</w:t>
      </w:r>
      <w:r>
        <w:rPr>
          <w:sz w:val="22"/>
          <w:szCs w:val="22"/>
        </w:rPr>
        <w:t>neladas). La provincia con menor generación es Santa Fe, con 254.286,60 toneladas.</w:t>
      </w:r>
    </w:p>
    <w:p w14:paraId="71736CF1" w14:textId="236944AE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 xml:space="preserve">A diferencia de lo que suele asumirse, la generación de plásticos no está fuertemente concentrada en una sola región: Buenos Aires y Misiones </w:t>
      </w:r>
      <w:r>
        <w:rPr>
          <w:sz w:val="22"/>
          <w:szCs w:val="22"/>
        </w:rPr>
        <w:t>las dos provincias con mayor v</w:t>
      </w:r>
      <w:r>
        <w:rPr>
          <w:sz w:val="22"/>
          <w:szCs w:val="22"/>
        </w:rPr>
        <w:t>olumen de este residuo</w:t>
      </w:r>
      <w:r>
        <w:rPr>
          <w:sz w:val="22"/>
          <w:szCs w:val="22"/>
        </w:rPr>
        <w:t xml:space="preserve"> representan en conjunto solo el 27,0% del total de plásticos generados, lo que sugiere un problema distribuido de forma relativamente uniforme entre las ocho provincias analizadas, más que un foco geográfico único.</w:t>
      </w:r>
    </w:p>
    <w:p w14:paraId="74274A77" w14:textId="77777777" w:rsidR="00B95D15" w:rsidRDefault="00213D54">
      <w:pPr>
        <w:spacing w:after="160" w:line="300" w:lineRule="auto"/>
        <w:jc w:val="both"/>
      </w:pPr>
      <w:r>
        <w:rPr>
          <w:sz w:val="22"/>
          <w:szCs w:val="22"/>
        </w:rPr>
        <w:t>En cuanto a los r</w:t>
      </w:r>
      <w:r>
        <w:rPr>
          <w:sz w:val="22"/>
          <w:szCs w:val="22"/>
        </w:rPr>
        <w:t>egistros de "Alto Volumen" (los que concentran el 20,3% del total de toneladas), estos se presentan con mayor frecuencia en Chaco (15 registros) y Salta (14 registros), lo que sí sugiere que estas dos provincias son las que registran los eventos de generac</w:t>
      </w:r>
      <w:r>
        <w:rPr>
          <w:sz w:val="22"/>
          <w:szCs w:val="22"/>
        </w:rPr>
        <w:t>ión más críticos en términos de magnitud individual.</w:t>
      </w:r>
    </w:p>
    <w:p w14:paraId="2260AD3F" w14:textId="77777777" w:rsidR="00B95D15" w:rsidRDefault="00213D54">
      <w:pPr>
        <w:pStyle w:val="Ttulo1"/>
        <w:spacing w:before="300" w:after="150"/>
      </w:pPr>
      <w:r>
        <w:rPr>
          <w:b/>
          <w:bCs/>
          <w:color w:val="1B5E20"/>
          <w:sz w:val="30"/>
          <w:szCs w:val="30"/>
        </w:rPr>
        <w:t>3. Recomendaciones</w:t>
      </w:r>
    </w:p>
    <w:p w14:paraId="71E300A8" w14:textId="77777777" w:rsidR="00B95D15" w:rsidRDefault="00213D54">
      <w:pPr>
        <w:pStyle w:val="Prrafodelista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Priorizar Chaco y Salta en programas de gestión de picos de generación: al concentrar el mayor número de eventos de "Alto Volumen", intervenir en estas provincias tendría el mayor impa</w:t>
      </w:r>
      <w:r>
        <w:rPr>
          <w:sz w:val="22"/>
          <w:szCs w:val="22"/>
        </w:rPr>
        <w:t>cto proporcional sobre el volumen total gestionado.</w:t>
      </w:r>
    </w:p>
    <w:p w14:paraId="2C9D24C5" w14:textId="77777777" w:rsidR="00B95D15" w:rsidRDefault="00213D54">
      <w:pPr>
        <w:pStyle w:val="Prrafodelista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Diseñar la política de reducción de plásticos de un solo uso como una iniciativa nacional, no regional: dado que la generación de plásticos está distribuida entre las ocho provincias sin una concentración</w:t>
      </w:r>
      <w:r>
        <w:rPr>
          <w:sz w:val="22"/>
          <w:szCs w:val="22"/>
        </w:rPr>
        <w:t xml:space="preserve"> dominante, una estrategia focalizada en una sola región tendría un impacto limitado sobre el total.</w:t>
      </w:r>
    </w:p>
    <w:p w14:paraId="2398573C" w14:textId="77777777" w:rsidR="00B95D15" w:rsidRDefault="00213D54">
      <w:pPr>
        <w:pStyle w:val="Prrafodelista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Dar seguimiento trimestral a la tendencia de plásticos y volumen total: el incremento del 3,46% observado entre 2024 y 2025 es moderado, pero debe monitore</w:t>
      </w:r>
      <w:r>
        <w:rPr>
          <w:sz w:val="22"/>
          <w:szCs w:val="22"/>
        </w:rPr>
        <w:t>arse con los datos completos de 2026 para confirmar si la tendencia de crecimiento se mantiene.</w:t>
      </w:r>
    </w:p>
    <w:p w14:paraId="26575F15" w14:textId="77777777" w:rsidR="00B95D15" w:rsidRDefault="00213D54">
      <w:pPr>
        <w:pStyle w:val="Prrafodelista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 xml:space="preserve">Investigar las causas de los registros de "Alto Volumen": dado que estos representan solo el 7,6% de los </w:t>
      </w:r>
      <w:proofErr w:type="gramStart"/>
      <w:r>
        <w:rPr>
          <w:sz w:val="22"/>
          <w:szCs w:val="22"/>
        </w:rPr>
        <w:t>registros</w:t>
      </w:r>
      <w:proofErr w:type="gramEnd"/>
      <w:r>
        <w:rPr>
          <w:sz w:val="22"/>
          <w:szCs w:val="22"/>
        </w:rPr>
        <w:t xml:space="preserve"> pero el 20,3% del volumen total, entender sus</w:t>
      </w:r>
      <w:r>
        <w:rPr>
          <w:sz w:val="22"/>
          <w:szCs w:val="22"/>
        </w:rPr>
        <w:t xml:space="preserve"> causas (eventos estacionales, fallas en recolección, picos industriales) permitiría intervenciones de alto impacto con recursos acotados.</w:t>
      </w:r>
    </w:p>
    <w:p w14:paraId="00E76AA5" w14:textId="77777777" w:rsidR="00B95D15" w:rsidRDefault="00213D54">
      <w:pPr>
        <w:pStyle w:val="Prrafodelista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Completar y validar el registro de los 11 casos sin dato de toneladas identificados en la auditoría inicial, para evitar la pérdida de información en futuros ciclos de reporte.</w:t>
      </w:r>
    </w:p>
    <w:p w14:paraId="48F2F064" w14:textId="368E7D85" w:rsidR="00B95D15" w:rsidRDefault="00213D54">
      <w:pPr>
        <w:pBdr>
          <w:top w:val="single" w:sz="6" w:space="1" w:color="CCCCCC"/>
        </w:pBdr>
        <w:spacing w:before="400"/>
      </w:pPr>
      <w:r>
        <w:t>Jeisson Uribe</w:t>
      </w:r>
    </w:p>
    <w:sectPr w:rsidR="00B95D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83BBE"/>
    <w:multiLevelType w:val="hybridMultilevel"/>
    <w:tmpl w:val="512C7DD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D15"/>
    <w:rsid w:val="00213D54"/>
    <w:rsid w:val="00B9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F2EE"/>
  <w15:docId w15:val="{B15D2EB6-8E8F-4696-A095-4ED2A29D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779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jeisson uribe</cp:lastModifiedBy>
  <cp:revision>2</cp:revision>
  <dcterms:created xsi:type="dcterms:W3CDTF">2026-07-31T03:03:00Z</dcterms:created>
  <dcterms:modified xsi:type="dcterms:W3CDTF">2026-07-31T03:35:00Z</dcterms:modified>
</cp:coreProperties>
</file>