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val="clear" w:color="auto" w:fill="1B4332"/>
          </w:tcPr>
          <w:p>
            <w:r>
              <w:rPr>
                <w:b/>
                <w:color w:val="B7E4C7"/>
                <w:sz w:val="18"/>
              </w:rPr>
              <w:t>REPORTE EJECUTIVO DE IMPACTO</w:t>
            </w:r>
          </w:p>
          <w:p>
            <w:r>
              <w:rPr>
                <w:b/>
                <w:color w:val="FFFFFF"/>
                <w:sz w:val="32"/>
              </w:rPr>
              <w:t>Diagnóstico de Residuos Sólidos Urbanos en Argentina (2024–2026)</w:t>
            </w:r>
          </w:p>
          <w:p>
            <w:r>
              <w:rPr>
                <w:color w:val="D8F3DC"/>
                <w:sz w:val="17"/>
              </w:rPr>
              <w:t>Preparado para la Dirección de la ONG EcoData · Autor: Jeisson Marin Uribe Luis, Data Analyst · Septiembre 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b/>
                <w:color w:val="2D6A4F"/>
                <w:sz w:val="30"/>
              </w:rPr>
              <w:t>2.505.017 t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b/>
                <w:color w:val="2D6A4F"/>
                <w:sz w:val="30"/>
              </w:rPr>
              <w:t>37,4 %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b/>
                <w:color w:val="2D6A4F"/>
                <w:sz w:val="30"/>
              </w:rPr>
              <w:t>33,1 %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b/>
                <w:color w:val="2D6A4F"/>
                <w:sz w:val="30"/>
              </w:rPr>
              <w:t>+3,5 %</w:t>
            </w:r>
          </w:p>
        </w:tc>
      </w:tr>
      <w:tr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color w:val="5F6B66"/>
                <w:sz w:val="16"/>
              </w:rPr>
              <w:t>generadas en 1.040 mediciones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color w:val="5F6B66"/>
                <w:sz w:val="16"/>
              </w:rPr>
              <w:t>del volumen en la región Centro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color w:val="5F6B66"/>
                <w:sz w:val="16"/>
              </w:rPr>
              <w:t>corresponde a plásticos</w:t>
            </w:r>
          </w:p>
        </w:tc>
        <w:tc>
          <w:tcPr>
            <w:tcW w:type="dxa" w:w="2438"/>
            <w:shd w:val="clear" w:color="auto" w:fill="F1F3F2"/>
          </w:tcPr>
          <w:p>
            <w:pPr>
              <w:jc w:val="center"/>
            </w:pPr>
            <w:r>
              <w:rPr>
                <w:color w:val="5F6B66"/>
                <w:sz w:val="16"/>
              </w:rPr>
              <w:t>plásticos 2025 vs. 2024</w:t>
            </w:r>
          </w:p>
        </w:tc>
      </w:tr>
    </w:tbl>
    <w:p>
      <w:pPr>
        <w:spacing w:before="160" w:after="60"/>
        <w:pBdr>
          <w:bottom w:val="single" w:sz="12" w:space="1" w:color="52B788"/>
        </w:pBdr>
      </w:pPr>
      <w:r>
        <w:rPr>
          <w:b/>
          <w:color w:val="1B4332"/>
          <w:sz w:val="25"/>
        </w:rPr>
        <w:t>1. Introducción</w:t>
      </w:r>
    </w:p>
    <w:p>
      <w:pPr>
        <w:jc w:val="both"/>
      </w:pPr>
      <w:r>
        <w:t xml:space="preserve">La generación de residuos sólidos urbanos crece mientras el presupuesto y la infraestructura de reciclaje permanecen estancados. Este informe resume el análisis de la base histórica de mediciones de la ONG (origen: registros del Ministerio de Ambiente) para </w:t>
      </w:r>
      <w:r>
        <w:rPr>
          <w:b/>
          <w:color w:val="2D6A4F"/>
        </w:rPr>
        <w:t>8 provincias argentinas</w:t>
      </w:r>
      <w:r>
        <w:t xml:space="preserve"> entre el </w:t>
      </w:r>
      <w:r>
        <w:rPr>
          <w:b/>
          <w:color w:val="2D6A4F"/>
        </w:rPr>
        <w:t>01/01/2024 y el 10/03/2026</w:t>
      </w:r>
      <w:r>
        <w:t xml:space="preserve">. Se auditaron 1.095 filas: se aislaron </w:t>
      </w:r>
      <w:r>
        <w:rPr>
          <w:b/>
          <w:color w:val="2D6A4F"/>
        </w:rPr>
        <w:t>45 duplicados exactos</w:t>
      </w:r>
      <w:r>
        <w:t xml:space="preserve"> y </w:t>
      </w:r>
      <w:r>
        <w:rPr>
          <w:b/>
          <w:color w:val="2D6A4F"/>
        </w:rPr>
        <w:t>10 registros sin toneladas</w:t>
      </w:r>
      <w:r>
        <w:t xml:space="preserve"> (5,0 % del total) y se normalizaron 86 nombres de provincia mal escritos (7,9 %), lo que dejó </w:t>
      </w:r>
      <w:r>
        <w:rPr>
          <w:b/>
          <w:color w:val="2D6A4F"/>
        </w:rPr>
        <w:t>1.040 registros válidos</w:t>
      </w:r>
      <w:r>
        <w:t>. El análisis es descriptivo y se realizó íntegramente en Microsoft Excel.</w:t>
      </w:r>
    </w:p>
    <w:p>
      <w:pPr>
        <w:spacing w:before="160" w:after="60"/>
        <w:pBdr>
          <w:bottom w:val="single" w:sz="12" w:space="1" w:color="52B788"/>
        </w:pBdr>
      </w:pPr>
      <w:r>
        <w:rPr>
          <w:b/>
          <w:color w:val="1B4332"/>
          <w:sz w:val="25"/>
        </w:rPr>
        <w:t>2. Hallazgos principales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Concentración territorial. </w:t>
      </w:r>
      <w:r>
        <w:t xml:space="preserve">La región Centro (Buenos Aires, Córdoba y Santa Fe) concentra el </w:t>
      </w:r>
      <w:r>
        <w:rPr>
          <w:b/>
          <w:color w:val="2D6A4F"/>
        </w:rPr>
        <w:t>37,4 %</w:t>
      </w:r>
      <w:r>
        <w:t xml:space="preserve"> del volumen (935.882 t), seguida de NOA (26,3 %), NEA (24,6 %) y Cuyo (11,8 %). </w:t>
      </w:r>
      <w:r>
        <w:rPr>
          <w:b/>
          <w:color w:val="2D6A4F"/>
        </w:rPr>
        <w:t>Buenos Aires</w:t>
      </w:r>
      <w:r>
        <w:t xml:space="preserve"> lidera con 355.590 t (14,2 %) y es la única provincia “crítica” (z-score = 1,37); Santa Fe registra el menor volumen (254.287 t; 10,2 %).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Los plásticos son el principal problema. </w:t>
      </w:r>
      <w:r>
        <w:t xml:space="preserve">Son el tipo de residuo más frecuente (moda: 363 registros, 34,9 %) y el de mayor volumen: </w:t>
      </w:r>
      <w:r>
        <w:t>828.534 t (33,1 %)</w:t>
      </w:r>
      <w:r>
        <w:t xml:space="preserve">. Junto con los orgánicos (25,2 %) suman el 58,3 % del total. Se observa un </w:t>
      </w:r>
      <w:r>
        <w:rPr>
          <w:b/>
          <w:color w:val="2D6A4F"/>
        </w:rPr>
        <w:t>incremento del 3,5 % en plásticos entre 2024 y 2025</w:t>
      </w:r>
      <w:r>
        <w:t xml:space="preserve"> (de 371.381 t a 384.227 t), mientras el total general se mantuvo estable (−0,2 %); el 36,0 % de los plásticos se concentra en la región Centro.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Vidrio en ascenso, orgánicos y metales en baja. </w:t>
      </w:r>
      <w:r>
        <w:t xml:space="preserve">Entre 2024 y 2025 el vidrio creció un </w:t>
      </w:r>
      <w:r>
        <w:rPr>
          <w:b/>
          <w:color w:val="2D6A4F"/>
        </w:rPr>
        <w:t>8,8 %</w:t>
      </w:r>
      <w:r>
        <w:t xml:space="preserve"> (186.685 t → 203.104 t) y papel y cartón un 2,2 %; en cambio, orgánicos cayó un 7,3 % y metales un 17,3 %.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Dinámica regional divergente. </w:t>
      </w:r>
      <w:r>
        <w:t xml:space="preserve">Pese a la estabilidad del total, NEA aumentó un </w:t>
      </w:r>
      <w:r>
        <w:rPr>
          <w:b/>
          <w:color w:val="2D6A4F"/>
        </w:rPr>
        <w:t>8,9 %</w:t>
      </w:r>
      <w:r>
        <w:t xml:space="preserve"> y Centro un 3,9 % en 2025, mientras NOA disminuyó un 11,2 % y Cuyo un 4,2 %.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Alta dispersión y valores atípicos. </w:t>
      </w:r>
      <w:r>
        <w:t xml:space="preserve">La media por medición (2.408,67 t) supera en un 20,2 % a la mediana (2.003,16 t) y el coeficiente de variación es del 69,9 % (σ = 1.684,42 t): la distribución tiene asimetría positiva. </w:t>
      </w:r>
      <w:r>
        <w:rPr>
          <w:b/>
          <w:color w:val="2D6A4F"/>
        </w:rPr>
        <w:t>13 registros</w:t>
      </w:r>
      <w:r>
        <w:t xml:space="preserve"> superan el umbral de 7.461,94 t (media + 3σ); el máximo es de 11.482,05 t (vidrio, Tucumán, 11/12/2024). Por categoría, el 72,4 % de las mediciones es de volumen medio, el 20,0 % bajo y el 7,6 % alto.</w:t>
      </w:r>
    </w:p>
    <w:p>
      <w:pPr>
        <w:pStyle w:val="ListBullet"/>
        <w:spacing w:after="40"/>
        <w:jc w:val="both"/>
      </w:pPr>
      <w:r>
        <w:rPr>
          <w:b/>
          <w:color w:val="2D6A4F"/>
        </w:rPr>
        <w:t xml:space="preserve">Tendencia temporal. </w:t>
      </w:r>
      <w:r>
        <w:t>2024 (1.134.935 t) y 2025 (1.133.082 t) son prácticamente iguales, con picos mensuales entre 55.692 t (nov-2024) y 132.106 t (may-2025). En el primer bimestre de 2026 se registraron 179.235 t, un 6,7 % menos que en el mismo periodo de 2025; como 2026 está incompleto, este dato debe confirmarse.</w:t>
      </w:r>
    </w:p>
    <w:p>
      <w:pPr>
        <w:spacing w:before="160" w:after="60"/>
        <w:pBdr>
          <w:bottom w:val="single" w:sz="12" w:space="1" w:color="52B788"/>
        </w:pBdr>
      </w:pPr>
      <w:r>
        <w:rPr>
          <w:b/>
          <w:color w:val="1B4332"/>
          <w:sz w:val="25"/>
        </w:rPr>
        <w:t>3. Recomendaciones</w:t>
      </w:r>
    </w:p>
    <w:p>
      <w:pPr>
        <w:pStyle w:val="ListNumber"/>
        <w:spacing w:after="40"/>
        <w:jc w:val="both"/>
      </w:pPr>
      <w:r>
        <w:rPr>
          <w:b/>
          <w:color w:val="2D6A4F"/>
        </w:rPr>
        <w:t xml:space="preserve">Priorizar una estrategia contra plásticos de un solo uso. </w:t>
      </w:r>
      <w:r>
        <w:t>Al representar un tercio del volumen y crecer más que el total, proponer a los legisladores metas de reducción y esquemas de responsabilidad extendida del productor, con un objetivo inicial de revertir el +3,5 % anual.</w:t>
      </w:r>
    </w:p>
    <w:p>
      <w:pPr>
        <w:pStyle w:val="ListNumber"/>
        <w:spacing w:after="40"/>
        <w:jc w:val="both"/>
      </w:pPr>
      <w:r>
        <w:rPr>
          <w:b/>
          <w:color w:val="2D6A4F"/>
        </w:rPr>
        <w:t xml:space="preserve">Focalizar la inversión en reciclaje en la región Centro. </w:t>
      </w:r>
      <w:r>
        <w:t>Con el 37,4 % del volumen, un plan piloto de separación en origen y puntos limpios en Buenos Aires y Córdoba tendría el mayor impacto por peso invertido.</w:t>
      </w:r>
    </w:p>
    <w:p>
      <w:pPr>
        <w:pStyle w:val="ListNumber"/>
        <w:spacing w:after="40"/>
        <w:jc w:val="both"/>
      </w:pPr>
      <w:r>
        <w:rPr>
          <w:b/>
          <w:color w:val="2D6A4F"/>
        </w:rPr>
        <w:t xml:space="preserve">Crear circuitos de retorno de vidrio y atender el crecimiento del NEA. </w:t>
      </w:r>
      <w:r>
        <w:t>El vidrio (+8,8 %) y la región NEA (+8,9 %) muestran el mayor crecimiento; conviene anticipar capacidad logística antes de que el problema escale.</w:t>
      </w:r>
    </w:p>
    <w:p>
      <w:pPr>
        <w:pStyle w:val="ListNumber"/>
        <w:spacing w:after="40"/>
        <w:jc w:val="both"/>
      </w:pPr>
      <w:r>
        <w:rPr>
          <w:b/>
          <w:color w:val="2D6A4F"/>
        </w:rPr>
        <w:t xml:space="preserve">Auditar los 13 registros atípicos. </w:t>
      </w:r>
      <w:r>
        <w:t>Verificar si corresponden a eventos reales (operativos de limpieza, errores de carga) antes de usarlos para dimensionar infraestructura.</w:t>
      </w:r>
    </w:p>
    <w:p>
      <w:pPr>
        <w:pStyle w:val="ListNumber"/>
        <w:spacing w:after="40"/>
        <w:jc w:val="both"/>
      </w:pPr>
      <w:r>
        <w:rPr>
          <w:b/>
          <w:color w:val="2D6A4F"/>
        </w:rPr>
        <w:t xml:space="preserve">Mejorar la calidad del dato en origen. </w:t>
      </w:r>
      <w:r>
        <w:t>El 5,0 % de las filas se descartó y el 7,9 % tuvo provincias mal escritas: se recomienda un formulario de carga con listas desplegables y campos obligatorios, y actualizar el dashboard mensualmente para completar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8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66"/>
          <w:sz w:val="16"/>
        </w:rPr>
        <w:t>Figura 1. Dashboard interactivo en Excel (filtros por año, región y tipo de residuo).</w:t>
      </w:r>
    </w:p>
    <w:p>
      <w:pPr>
        <w:spacing w:before="120"/>
      </w:pPr>
      <w:r>
        <w:rPr>
          <w:i/>
          <w:color w:val="5F6B66"/>
          <w:sz w:val="15"/>
        </w:rPr>
        <w:t>Nota metodológica: métricas calculadas con fórmulas de Excel sobre la tabla TablaResiduosLimpios. Regiones: Centro (Buenos Aires, Córdoba, Santa Fe), Cuyo (Mendoza), NOA (Salta, Tucumán), NEA (Chaco, Misiones). Dataset de práctica provisto por Talently Lab. Detalle completo en el repositorio diagnostico-residuos-ecodata.</w:t>
      </w:r>
    </w:p>
    <w:sectPr w:rsidR="00FC693F" w:rsidRPr="0006063C" w:rsidSect="00034616">
      <w:pgSz w:w="11906" w:h="16838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