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AI and Robot Demonstration Hygiene: Failure Taxonomies, Policy Degradation Dynamics, and Automated Quality Control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Demonstration Data Bottleneck in Physical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advancement of physical artificial intelligence has been catalyzed by a structural paradigm shift in robot learning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discipline has evolved from task-specific reinforcement learning policies operating in constrained environments toward generalist foundation models and expressive generative visuomotor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architectures, including Physical Intelligence’s </w:t>
      </w:r>
      <w:r w:rsidDel="00000000" w:rsidR="00000000" w:rsidRPr="00000000">
        <w:rPr>
          <w:rFonts w:ascii="Google Sans" w:cs="Google Sans" w:eastAsia="Google Sans" w:hAnsi="Google Sans"/>
          <w:color w:val="1f1f1f"/>
        </w:rPr>
        <w:drawing>
          <wp:inline distB="19050" distT="19050" distL="19050" distR="19050">
            <wp:extent cx="190053" cy="247069"/>
            <wp:effectExtent b="0" l="0" r="0" t="0"/>
            <wp:docPr id="9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053" cy="247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42528" cy="247381"/>
            <wp:effectExtent b="0" l="0" r="0" t="0"/>
            <wp:docPr id="9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42528" cy="24738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Stanford’s ALOHA and Mobile ALOHA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commercial humanoid systems developed by Figure AI and Tesla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couple large vision-language backbones with high-capacity continuous control heads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digital foundation models ingest trillions of semantic tokens from static internet corpora, physical AI systems require continuous, time-synchronized sensorimotor streams composed of multi-view visual feeds, high-frequency joint proprioception, tactile or wrench measurements, and precise motor commands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passive internet video lacks explicit actuator torques, internal joint states, and physical contact dynamics, the deployment of performant physical policies remains fundamentally constrained by the throughput and quality of real-world demonstration pipelines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demonstration collection relies on four primary modalities, each exhibiting distinct technical trade-offs: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Bilateral Leader-Follower Master Arms</w:t>
      </w:r>
      <w:r w:rsidDel="00000000" w:rsidR="00000000" w:rsidRPr="00000000">
        <w:rPr>
          <w:rFonts w:ascii="Google Sans" w:cs="Google Sans" w:eastAsia="Google Sans" w:hAnsi="Google Sans"/>
          <w:color w:val="1f1f1f"/>
          <w:rtl w:val="0"/>
        </w:rPr>
        <w:t xml:space="preserve">: Systems like ALOHA and ALOHA 2 capture kinematically identical joint trajectories through direct mechanical linkage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Although they record true actuator dynamics, they constrain operator workspace mobility and impose extreme physical fatigue during prolonged collection shifts, leading to progressive trajectory degradation over time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Egocentric Multi-Camera Wearable Kits</w:t>
      </w:r>
      <w:r w:rsidDel="00000000" w:rsidR="00000000" w:rsidRPr="00000000">
        <w:rPr>
          <w:rFonts w:ascii="Google Sans" w:cs="Google Sans" w:eastAsia="Google Sans" w:hAnsi="Google Sans"/>
          <w:color w:val="1f1f1f"/>
          <w:rtl w:val="0"/>
        </w:rPr>
        <w:t xml:space="preserve">: Helmet-mounted camera clusters, sensorized backpacks, and full-body motion capture suits enable mobile human data collection across unconstrained environments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transferring these human demonstrations to robotic embodiments introduces complex retargeting errors, as human hands with 27 degrees of freedom must be mapped onto underactuated mechanical grippers or high-dimensional anthropomorphic hands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Decoupled Handheld Grippers</w:t>
      </w:r>
      <w:r w:rsidDel="00000000" w:rsidR="00000000" w:rsidRPr="00000000">
        <w:rPr>
          <w:rFonts w:ascii="Google Sans" w:cs="Google Sans" w:eastAsia="Google Sans" w:hAnsi="Google Sans"/>
          <w:color w:val="1f1f1f"/>
          <w:rtl w:val="0"/>
        </w:rPr>
        <w:t xml:space="preserve">: Interfaces such as the Universal Manipulation Interface (UMI) decouple trajectory collection from stationary robot arms by mounting spatial trackers and optical cameras directly on a hand-held gripper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provides high spatial dexterity and natural manipulation semantics, but completely omits base robot whole-body kinematics, joint torque limitations, and singularity dynamics, requiring complex downstream inverse kinematics retargeting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Immersive Spatial Tracking</w:t>
      </w:r>
      <w:r w:rsidDel="00000000" w:rsidR="00000000" w:rsidRPr="00000000">
        <w:rPr>
          <w:rFonts w:ascii="Google Sans" w:cs="Google Sans" w:eastAsia="Google Sans" w:hAnsi="Google Sans"/>
          <w:color w:val="1f1f1f"/>
          <w:rtl w:val="0"/>
        </w:rPr>
        <w:t xml:space="preserve">: Mixed reality head-mounted displays, optical tracking rigs, and datagloves allow remote operators to control robots in real time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Yet network latency, sensor jitter, and the lack of haptic contact feedback introduce operator overshoot, visual hunting, and artificial hesitation into the demonstration corpus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findings confirm that naively scaling the volume of uncurated physical demonstration data yields diminishing returns or catastrophic policy divergence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standard imitation learning, models are supervised directly on the recorded behavior of human operators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Suboptimal human demonstrations—characterized by visual occlusions, mechanical hesitations, improper grasp contacts, and procedural deviations—are absorbed directly into the policy’s learned distribution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bottleneck in physical AI has shifted from parameter capacity to dataset hygiene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Without rigorous data quality control (QC), large-scale behavioral cloning pipelines suffer from severe compounding errors, state distribution drift, and causal confusion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Scaling autonomous manipulation systems requires moving beyond manual video inspection toward automated, neuro-symbolic, and information-theoretic quality control pipelines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and Empirical Foundations of Policy Degradation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Formulations of Modern Imitation Learning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robot policies generally fall into three policy formulations, each interacting differently with demonstration quality: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Behavioral Cloning and Action Chunking Transformers optimize policies over discrete states or temporal action sequences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Standard Behavioral Cloning minimizes the mean squared error between predicted actions and expert actions over the demonstration dataset: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741"/>
            <wp:effectExtent b="0" l="0" r="0" t="0"/>
            <wp:docPr id="93"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5905500" cy="63474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temporal consistency and mitigate compounding single-step errors, Action Chunking Transformers (ACT) predict continuous horizons of actions </w:t>
      </w:r>
      <w:r w:rsidDel="00000000" w:rsidR="00000000" w:rsidRPr="00000000">
        <w:rPr>
          <w:rFonts w:ascii="Google Sans" w:cs="Google Sans" w:eastAsia="Google Sans" w:hAnsi="Google Sans"/>
          <w:color w:val="1f1f1f"/>
        </w:rPr>
        <w:drawing>
          <wp:inline distB="19050" distT="19050" distL="19050" distR="19050">
            <wp:extent cx="2392118" cy="247789"/>
            <wp:effectExtent b="0" l="0" r="0" t="0"/>
            <wp:docPr id="96"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2392118" cy="247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conditioned on observation tokens </w:t>
      </w:r>
      <w:r w:rsidDel="00000000" w:rsidR="00000000" w:rsidRPr="00000000">
        <w:rPr>
          <w:rFonts w:ascii="Google Sans" w:cs="Google Sans" w:eastAsia="Google Sans" w:hAnsi="Google Sans"/>
          <w:color w:val="1f1f1f"/>
        </w:rPr>
        <w:drawing>
          <wp:inline distB="19050" distT="19050" distL="19050" distR="19050">
            <wp:extent cx="154335" cy="250794"/>
            <wp:effectExtent b="0" l="0" r="0" t="0"/>
            <wp:docPr id="95"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154335" cy="250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latent style variable </w:t>
      </w:r>
      <w:r w:rsidDel="00000000" w:rsidR="00000000" w:rsidRPr="00000000">
        <w:rPr>
          <w:rFonts w:ascii="Google Sans" w:cs="Google Sans" w:eastAsia="Google Sans" w:hAnsi="Google Sans"/>
          <w:color w:val="1f1f1f"/>
        </w:rPr>
        <w:drawing>
          <wp:inline distB="19050" distT="19050" distL="19050" distR="19050">
            <wp:extent cx="99715" cy="259260"/>
            <wp:effectExtent b="0" l="0" r="0" t="0"/>
            <wp:docPr id="9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99715" cy="259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a Conditional Variational Autoencoder (CVAE) formulation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1157"/>
            <wp:effectExtent b="0" l="0" r="0" t="0"/>
            <wp:docPr id="97"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5905500" cy="73115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Diffusion Policies model the action distribution as a conditional reverse stochastic diffusion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treating multi-step action trajectories </w:t>
      </w:r>
      <w:r w:rsidDel="00000000" w:rsidR="00000000" w:rsidRPr="00000000">
        <w:rPr>
          <w:rFonts w:ascii="Google Sans" w:cs="Google Sans" w:eastAsia="Google Sans" w:hAnsi="Google Sans"/>
          <w:color w:val="1f1f1f"/>
        </w:rPr>
        <w:drawing>
          <wp:inline distB="19050" distT="19050" distL="19050" distR="19050">
            <wp:extent cx="225325" cy="244102"/>
            <wp:effectExtent b="0" l="0" r="0" t="0"/>
            <wp:docPr id="103"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225325" cy="244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particles diffusing under Gaussian noise over timesteps </w:t>
      </w:r>
      <w:r w:rsidDel="00000000" w:rsidR="00000000" w:rsidRPr="00000000">
        <w:rPr>
          <w:rFonts w:ascii="Google Sans" w:cs="Google Sans" w:eastAsia="Google Sans" w:hAnsi="Google Sans"/>
          <w:color w:val="1f1f1f"/>
        </w:rPr>
        <w:drawing>
          <wp:inline distB="19050" distT="19050" distL="19050" distR="19050">
            <wp:extent cx="822127" cy="248550"/>
            <wp:effectExtent b="0" l="0" r="0" t="0"/>
            <wp:docPr id="101"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822127" cy="248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policy trains a denoising network </w:t>
      </w:r>
      <w:r w:rsidDel="00000000" w:rsidR="00000000" w:rsidRPr="00000000">
        <w:rPr>
          <w:rFonts w:ascii="Google Sans" w:cs="Google Sans" w:eastAsia="Google Sans" w:hAnsi="Google Sans"/>
          <w:color w:val="1f1f1f"/>
        </w:rPr>
        <w:drawing>
          <wp:inline distB="19050" distT="19050" distL="19050" distR="19050">
            <wp:extent cx="157460" cy="240821"/>
            <wp:effectExtent b="0" l="0" r="0" t="0"/>
            <wp:docPr id="108"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157460" cy="240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predict injected noise using the standard Denoising Diffusion Probabilistic Model (DDPM) objective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741"/>
            <wp:effectExtent b="0" l="0" r="0" t="0"/>
            <wp:docPr id="105"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5905500" cy="63474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0964" cy="239731"/>
            <wp:effectExtent b="0" l="0" r="0" t="0"/>
            <wp:docPr id="107"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210964" cy="239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follows a predefined noise schedule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At inference time, actions are generated via iterative stochastic sampling or accelerated ordinary differential equation (ODE) solvers such as Denoising Diffusion Implicit Models (DDIM)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Flow Matching Vision-Language-Action Models parameterize continuous-time probability paths to bridge semantic internet representations with high-frequency actuator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Implemented in foundation architectures such as </w:t>
      </w:r>
      <w:r w:rsidDel="00000000" w:rsidR="00000000" w:rsidRPr="00000000">
        <w:rPr>
          <w:rFonts w:ascii="Google Sans" w:cs="Google Sans" w:eastAsia="Google Sans" w:hAnsi="Google Sans"/>
          <w:color w:val="1f1f1f"/>
        </w:rPr>
        <w:drawing>
          <wp:inline distB="19050" distT="19050" distL="19050" distR="19050">
            <wp:extent cx="190053" cy="247069"/>
            <wp:effectExtent b="0" l="0" r="0" t="0"/>
            <wp:docPr id="1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053" cy="247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flow matching replaces diffusion sampling with deterministic vector field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network conditions a pre-trained multimodal backbone on visual features and instruction prompts, training an action expert module via conditional optimal transport flow matching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741"/>
            <wp:effectExtent b="0" l="0" r="0" t="0"/>
            <wp:docPr id="111" name="image105.png"/>
            <a:graphic>
              <a:graphicData uri="http://schemas.openxmlformats.org/drawingml/2006/picture">
                <pic:pic>
                  <pic:nvPicPr>
                    <pic:cNvPr id="0" name="image105.png"/>
                    <pic:cNvPicPr preferRelativeResize="0"/>
                  </pic:nvPicPr>
                  <pic:blipFill>
                    <a:blip r:embed="rId18"/>
                    <a:srcRect b="0" l="0" r="0" t="0"/>
                    <a:stretch>
                      <a:fillRect/>
                    </a:stretch>
                  </pic:blipFill>
                  <pic:spPr>
                    <a:xfrm>
                      <a:off x="0" y="0"/>
                      <a:ext cx="5905500" cy="63474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684887" cy="247498"/>
            <wp:effectExtent b="0" l="0" r="0" t="0"/>
            <wp:docPr id="112" name="image94.png"/>
            <a:graphic>
              <a:graphicData uri="http://schemas.openxmlformats.org/drawingml/2006/picture">
                <pic:pic>
                  <pic:nvPicPr>
                    <pic:cNvPr id="0" name="image94.png"/>
                    <pic:cNvPicPr preferRelativeResize="0"/>
                  </pic:nvPicPr>
                  <pic:blipFill>
                    <a:blip r:embed="rId19"/>
                    <a:srcRect b="0" l="0" r="0" t="0"/>
                    <a:stretch>
                      <a:fillRect/>
                    </a:stretch>
                  </pic:blipFill>
                  <pic:spPr>
                    <a:xfrm>
                      <a:off x="0" y="0"/>
                      <a:ext cx="1684887" cy="247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defines a straight-line probability trajectory between standard Gaussian noise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113"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demonstration trajectory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114"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2938" cy="249799"/>
            <wp:effectExtent b="0" l="0" r="0" t="0"/>
            <wp:docPr id="115" name="image102.png"/>
            <a:graphic>
              <a:graphicData uri="http://schemas.openxmlformats.org/drawingml/2006/picture">
                <pic:pic>
                  <pic:nvPicPr>
                    <pic:cNvPr id="0" name="image102.png"/>
                    <pic:cNvPicPr preferRelativeResize="0"/>
                  </pic:nvPicPr>
                  <pic:blipFill>
                    <a:blip r:embed="rId22"/>
                    <a:srcRect b="0" l="0" r="0" t="0"/>
                    <a:stretch>
                      <a:fillRect/>
                    </a:stretch>
                  </pic:blipFill>
                  <pic:spPr>
                    <a:xfrm>
                      <a:off x="0" y="0"/>
                      <a:ext cx="172938" cy="249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modeled velocity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Compounding Execution Drift and Covariate Shift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theoretical failure mode of supervised behavioral cloning arises from the failure of the independent and identically distributed (i.i.d.) assumption in sequential decision processes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an episodic execution horizon of length </w:t>
      </w:r>
      <w:r w:rsidDel="00000000" w:rsidR="00000000" w:rsidRPr="00000000">
        <w:rPr>
          <w:rFonts w:ascii="Google Sans" w:cs="Google Sans" w:eastAsia="Google Sans" w:hAnsi="Google Sans"/>
          <w:color w:val="1f1f1f"/>
        </w:rPr>
        <w:drawing>
          <wp:inline distB="19050" distT="19050" distL="19050" distR="19050">
            <wp:extent cx="141610" cy="245457"/>
            <wp:effectExtent b="0" l="0" r="0" t="0"/>
            <wp:docPr id="116" name="image103.png"/>
            <a:graphic>
              <a:graphicData uri="http://schemas.openxmlformats.org/drawingml/2006/picture">
                <pic:pic>
                  <pic:nvPicPr>
                    <pic:cNvPr id="0" name="image103.png"/>
                    <pic:cNvPicPr preferRelativeResize="0"/>
                  </pic:nvPicPr>
                  <pic:blipFill>
                    <a:blip r:embed="rId23"/>
                    <a:srcRect b="0" l="0" r="0" t="0"/>
                    <a:stretch>
                      <a:fillRect/>
                    </a:stretch>
                  </pic:blipFill>
                  <pic:spPr>
                    <a:xfrm>
                      <a:off x="0" y="0"/>
                      <a:ext cx="141610" cy="245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 policy </w:t>
      </w:r>
      <w:r w:rsidDel="00000000" w:rsidR="00000000" w:rsidRPr="00000000">
        <w:rPr>
          <w:rFonts w:ascii="Google Sans" w:cs="Google Sans" w:eastAsia="Google Sans" w:hAnsi="Google Sans"/>
          <w:color w:val="1f1f1f"/>
        </w:rPr>
        <w:drawing>
          <wp:inline distB="19050" distT="19050" distL="19050" distR="19050">
            <wp:extent cx="189607" cy="246489"/>
            <wp:effectExtent b="0" l="0" r="0" t="0"/>
            <wp:docPr id="117" name="image101.png"/>
            <a:graphic>
              <a:graphicData uri="http://schemas.openxmlformats.org/drawingml/2006/picture">
                <pic:pic>
                  <pic:nvPicPr>
                    <pic:cNvPr id="0" name="image101.png"/>
                    <pic:cNvPicPr preferRelativeResize="0"/>
                  </pic:nvPicPr>
                  <pic:blipFill>
                    <a:blip r:embed="rId24"/>
                    <a:srcRect b="0" l="0" r="0" t="0"/>
                    <a:stretch>
                      <a:fillRect/>
                    </a:stretch>
                  </pic:blipFill>
                  <pic:spPr>
                    <a:xfrm>
                      <a:off x="0" y="0"/>
                      <a:ext cx="189607" cy="246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incurs an expected single-step error bounded by </w:t>
      </w:r>
      <w:r w:rsidDel="00000000" w:rsidR="00000000" w:rsidRPr="00000000">
        <w:rPr>
          <w:rFonts w:ascii="Google Sans" w:cs="Google Sans" w:eastAsia="Google Sans" w:hAnsi="Google Sans"/>
          <w:color w:val="1f1f1f"/>
        </w:rPr>
        <w:drawing>
          <wp:inline distB="19050" distT="19050" distL="19050" distR="19050">
            <wp:extent cx="79549" cy="258533"/>
            <wp:effectExtent b="0" l="0" r="0" t="0"/>
            <wp:docPr id="81"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79549" cy="258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optimal demonstration policy </w:t>
      </w:r>
      <w:r w:rsidDel="00000000" w:rsidR="00000000" w:rsidRPr="00000000">
        <w:rPr>
          <w:rFonts w:ascii="Google Sans" w:cs="Google Sans" w:eastAsia="Google Sans" w:hAnsi="Google Sans"/>
          <w:color w:val="1f1f1f"/>
        </w:rPr>
        <w:drawing>
          <wp:inline distB="19050" distT="19050" distL="19050" distR="19050">
            <wp:extent cx="197048" cy="243965"/>
            <wp:effectExtent b="0" l="0" r="0" t="0"/>
            <wp:docPr id="82" name="image68.png"/>
            <a:graphic>
              <a:graphicData uri="http://schemas.openxmlformats.org/drawingml/2006/picture">
                <pic:pic>
                  <pic:nvPicPr>
                    <pic:cNvPr id="0" name="image68.png"/>
                    <pic:cNvPicPr preferRelativeResize="0"/>
                  </pic:nvPicPr>
                  <pic:blipFill>
                    <a:blip r:embed="rId26"/>
                    <a:srcRect b="0" l="0" r="0" t="0"/>
                    <a:stretch>
                      <a:fillRect/>
                    </a:stretch>
                  </pic:blipFill>
                  <pic:spPr>
                    <a:xfrm>
                      <a:off x="0" y="0"/>
                      <a:ext cx="197048" cy="243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83" name="image74.png"/>
            <a:graphic>
              <a:graphicData uri="http://schemas.openxmlformats.org/drawingml/2006/picture">
                <pic:pic>
                  <pic:nvPicPr>
                    <pic:cNvPr id="0" name="image74.png"/>
                    <pic:cNvPicPr preferRelativeResize="0"/>
                  </pic:nvPicPr>
                  <pic:blipFill>
                    <a:blip r:embed="rId27"/>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discrepancy between the demonstration state distribution </w:t>
      </w:r>
      <w:r w:rsidDel="00000000" w:rsidR="00000000" w:rsidRPr="00000000">
        <w:rPr>
          <w:rFonts w:ascii="Google Sans" w:cs="Google Sans" w:eastAsia="Google Sans" w:hAnsi="Google Sans"/>
          <w:color w:val="1f1f1f"/>
        </w:rPr>
        <w:drawing>
          <wp:inline distB="19050" distT="19050" distL="19050" distR="19050">
            <wp:extent cx="498054" cy="249027"/>
            <wp:effectExtent b="0" l="0" r="0" t="0"/>
            <wp:docPr id="85"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498054" cy="249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executed policy rollout distribution </w:t>
      </w:r>
      <w:r w:rsidDel="00000000" w:rsidR="00000000" w:rsidRPr="00000000">
        <w:rPr>
          <w:rFonts w:ascii="Google Sans" w:cs="Google Sans" w:eastAsia="Google Sans" w:hAnsi="Google Sans"/>
          <w:color w:val="1f1f1f"/>
        </w:rPr>
        <w:drawing>
          <wp:inline distB="19050" distT="19050" distL="19050" distR="19050">
            <wp:extent cx="492770" cy="246385"/>
            <wp:effectExtent b="0" l="0" r="0" t="0"/>
            <wp:docPr id="86" name="image109.png"/>
            <a:graphic>
              <a:graphicData uri="http://schemas.openxmlformats.org/drawingml/2006/picture">
                <pic:pic>
                  <pic:nvPicPr>
                    <pic:cNvPr id="0" name="image109.png"/>
                    <pic:cNvPicPr preferRelativeResize="0"/>
                  </pic:nvPicPr>
                  <pic:blipFill>
                    <a:blip r:embed="rId29"/>
                    <a:srcRect b="0" l="0" r="0" t="0"/>
                    <a:stretch>
                      <a:fillRect/>
                    </a:stretch>
                  </pic:blipFill>
                  <pic:spPr>
                    <a:xfrm>
                      <a:off x="0" y="0"/>
                      <a:ext cx="492770" cy="24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compounds quadratically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741"/>
            <wp:effectExtent b="0" l="0" r="0" t="0"/>
            <wp:docPr id="87" name="image70.png"/>
            <a:graphic>
              <a:graphicData uri="http://schemas.openxmlformats.org/drawingml/2006/picture">
                <pic:pic>
                  <pic:nvPicPr>
                    <pic:cNvPr id="0" name="image70.png"/>
                    <pic:cNvPicPr preferRelativeResize="0"/>
                  </pic:nvPicPr>
                  <pic:blipFill>
                    <a:blip r:embed="rId30"/>
                    <a:srcRect b="0" l="0" r="0" t="0"/>
                    <a:stretch>
                      <a:fillRect/>
                    </a:stretch>
                  </pic:blipFill>
                  <pic:spPr>
                    <a:xfrm>
                      <a:off x="0" y="0"/>
                      <a:ext cx="5905500" cy="63474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clean demonstration regimes, the support of the expert state distribution forms a narrow manifold around task completion trajectories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when datasets include uncurated human demonstrations characterized by mechanical hesitation, visual hunting, or micro-slips, the variance of target actions increases sharply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During autonomous deployment, small physical perturbations push the manipulator into states outside the support of the training data: </w:t>
      </w:r>
      <w:r w:rsidDel="00000000" w:rsidR="00000000" w:rsidRPr="00000000">
        <w:rPr>
          <w:rFonts w:ascii="Google Sans" w:cs="Google Sans" w:eastAsia="Google Sans" w:hAnsi="Google Sans"/>
          <w:color w:val="1f1f1f"/>
        </w:rPr>
        <w:drawing>
          <wp:inline distB="19050" distT="19050" distL="19050" distR="19050">
            <wp:extent cx="1141657" cy="247359"/>
            <wp:effectExtent b="0" l="0" r="0" t="0"/>
            <wp:docPr id="88"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1141657" cy="24735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standard supervised objectives apply equal penalty across all recorded states, the model receives no corrective gradient to guide the robot back to the target manifold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 system drifts into unvisited state spaces, prediction errors escalate rapidly, driving the policy into open-loop instability, violent oscillations, or complete task aborts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Confusion and Spurious Correlates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confusion occurs when an imitation learning agent exploits non-causal statistical correlations between observation features and demonstration actions, rather than learning true physical dependencies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modern foundation backbones have high expressive capacity, they readily fit background features that happen to correlate with expert actions in the training set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physical demonstration setups, causal confusion manifests through several distinct mechanisms: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inertia problem occurs when policies conditioned on short histories of past joint states or velocities learn that zero motion strongly predicts continued stillness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the robot encounters a brief mechanical pause or bottleneck during inference, the policy incorrectly predicts zero velocity indefinitely, freezing the system in place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Gaze and head movement artifacts present a similar risk in egocentric data capture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Human demonstrators typically shift their gaze or nod slightly immediately before initiating a grasping motion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Vision-language-action policies frequently attend to these visual shifts rather than object geometries, causing the physical robot to miss the target if camera motions vary during autonomous rollouts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visual confounders also introduce spurious correlations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Static environmental artifacts, such as lighting shadows cast by the operator, background clocks, or peripheral laboratory equipment, often correlate with task progress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tested in altered lighting conditions or rearranged workcells, the policy fails to execute the required actions because the non-causal visual cues are missing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Divergence versus Transition Diversity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relationship between dataset distribution and policy generalization is governed by the structural tension between action divergence and transition diversity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Action divergence represents the variance of demonstrated actions conditioned on identical or semantically equivalent visual states: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741"/>
            <wp:effectExtent b="0" l="0" r="0" t="0"/>
            <wp:docPr id="89" name="image77.png"/>
            <a:graphic>
              <a:graphicData uri="http://schemas.openxmlformats.org/drawingml/2006/picture">
                <pic:pic>
                  <pic:nvPicPr>
                    <pic:cNvPr id="0" name="image77.png"/>
                    <pic:cNvPicPr preferRelativeResize="0"/>
                  </pic:nvPicPr>
                  <pic:blipFill>
                    <a:blip r:embed="rId32"/>
                    <a:srcRect b="0" l="0" r="0" t="0"/>
                    <a:stretch>
                      <a:fillRect/>
                    </a:stretch>
                  </pic:blipFill>
                  <pic:spPr>
                    <a:xfrm>
                      <a:off x="0" y="0"/>
                      <a:ext cx="5905500" cy="63474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diversity measures the entropy of the visited state space and the environmental variations present across the dataset: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741"/>
            <wp:effectExtent b="0" l="0" r="0" t="0"/>
            <wp:docPr id="90" name="image78.png"/>
            <a:graphic>
              <a:graphicData uri="http://schemas.openxmlformats.org/drawingml/2006/picture">
                <pic:pic>
                  <pic:nvPicPr>
                    <pic:cNvPr id="0" name="image78.png"/>
                    <pic:cNvPicPr preferRelativeResize="0"/>
                  </pic:nvPicPr>
                  <pic:blipFill>
                    <a:blip r:embed="rId33"/>
                    <a:srcRect b="0" l="0" r="0" t="0"/>
                    <a:stretch>
                      <a:fillRect/>
                    </a:stretch>
                  </pic:blipFill>
                  <pic:spPr>
                    <a:xfrm>
                      <a:off x="0" y="0"/>
                      <a:ext cx="5905500" cy="63474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environmental coverage (high transition diversity) is essential to achieve generalization across varying object poses, lighting conditions, and distractor elements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high action divergence degrades policy stability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multiple human teleoperators execute the same task using conflicting strategies—such as approaching an object from opposite directions or applying inconsistent tool-handling techniques—unimodal policies experience mode-averaging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deterministic regressors, mode-averaging leads to non-viable mean predictions, such as driving the end-effector directly between two target positions and colliding with workspace obstacles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generative models can represent multimodal distributions, high action divergence forces the model to allocate representational capacity to noisy, conflicting modes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dispersion degrades the probability density around optimal trajectories, lowering real-world success rates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Modeling Pathologies: Diffusion and Flow Matching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Diffusion Policies and Flow Matching VLAs resolve the mode-averaging issues of standard MSE regressors by modeling complex multi-modal distributions, their expressive capacity introduces distinct failure modes when trained on noisy demonstration 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Diffusion mode hallucination occurs when generative policies fit low-quality demonstrations containing hesitations, false starts, or abandoned grasps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During inference, stochastic reverse ODE sampling can select intermediate trajectory branches that merge failed demonstrations with successful trajectories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produces mid-trajectory freezes, sudden directional reversals, or rapid end-effector jitter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noise disruption is driven by the frequency characteristics of robotic action distributions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Manipulation data exhibits a spectral power law where low-frequency components govern high-level spatial trajectories and approach paths, while high-frequency bands contain fine contact mechanics and tactile adjustments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Low-quality demonstrations—such as those with tracking jitter, sensor dropouts, or unsteady teleoperation—inject broad-spectrum white noise across all frequency bands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diffusion models distribute denoising across uniform noise schedules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causes high-frequency noise from suboptimal takes to corrupt the low-noise denoising steps that govern physical contact, degrading precision during delicate grasping and insertion phases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Comprehensive Taxonomy of Demonstration Data Failure Modes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Demonstration datasets gathered across real-world physical platforms are vulnerable to corruption across multiple capture layers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corruptions can be organized into six primary operational axes.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Axis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Failure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Frequency in Teleop Corpuses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Policy Convergence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Detection Complexity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Recording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Hardware desync, spatial truncation, PII leaks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Catastrophic: breaks spatial-visual representations, injects high-frequency noise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solvable via deterministic signal analysis &amp; vision filters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Embodiment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Gaze decoupling, HMD adjustment, pauses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Severe: drives causal confusion and static policy freezing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Medium: requires pose estimation &amp; attentional vector tracking</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Slips, micro-drops, collisions, hunting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propagates dynamic instability, spatial jitter, and mechanical drops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Medium: detectable via wrench thresholds &amp; optical trajectory analysis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Handle bypass, hazard contact, content intrusion</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yields kinematically stable but functionally unviable execution</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requires 3D semantic part segmentation &amp; affordance maps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Omission, misordering, wrong tool, early abort</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Critical: breaks goal conditioning, destroys options, loops indefinitely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requires neuro-symbolic graph alignment &amp; temporal VLMs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Volume gaming, rigid staging, rushing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Severe: destroys spatial generalization, collapses distribution support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Medium: verifiable via dataset entropy metrics &amp; kinematic bounds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1: Recording and Sensor/Capture Integrity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integrity failures originate in the physical perception and transport stack, disrupting the raw numerical representations ingested by the policy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Packet drops over serial, USB, or Ethernet buses, along with line-of-sight occlusions of motion tracking markers, cause non-uniform frame timing where the sampling delta </w:t>
      </w:r>
      <w:r w:rsidDel="00000000" w:rsidR="00000000" w:rsidRPr="00000000">
        <w:rPr>
          <w:rFonts w:ascii="Google Sans" w:cs="Google Sans" w:eastAsia="Google Sans" w:hAnsi="Google Sans"/>
          <w:color w:val="1f1f1f"/>
        </w:rPr>
        <w:drawing>
          <wp:inline distB="19050" distT="19050" distL="19050" distR="19050">
            <wp:extent cx="234032" cy="243393"/>
            <wp:effectExtent b="0" l="0" r="0" t="0"/>
            <wp:docPr id="91"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234032" cy="24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deviates significantly from the nominal control period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these variable-rate streams are fed into fixed-frequency control heads (typically operating at </w:t>
      </w:r>
      <w:r w:rsidDel="00000000" w:rsidR="00000000" w:rsidRPr="00000000">
        <w:rPr>
          <w:rFonts w:ascii="Google Sans" w:cs="Google Sans" w:eastAsia="Google Sans" w:hAnsi="Google Sans"/>
          <w:color w:val="1f1f1f"/>
        </w:rPr>
        <w:drawing>
          <wp:inline distB="19050" distT="19050" distL="19050" distR="19050">
            <wp:extent cx="462484" cy="235961"/>
            <wp:effectExtent b="0" l="0" r="0" t="0"/>
            <wp:docPr id="2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62484" cy="235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derived numerical velocities and accelerations experience artificial high-frequency spikes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truncation is another frequent failure mode in egocentric capture setups, where human demonstrators reach outside the active field of view of head-mounted cameras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Ingesting these frames forces the visual encoder to map missing object states to active joint motions, eroding visuomotor alignment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head movements introduce motion blur and rolling-shutter distortions that obscure critical workspace details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Temporal desynchronization between wrist cameras, third-person static views, and proprioceptive buses similarly degrades policy learning; even minor timing lags (</w:t>
      </w:r>
      <w:r w:rsidDel="00000000" w:rsidR="00000000" w:rsidRPr="00000000">
        <w:rPr>
          <w:rFonts w:ascii="Google Sans" w:cs="Google Sans" w:eastAsia="Google Sans" w:hAnsi="Google Sans"/>
          <w:color w:val="1f1f1f"/>
        </w:rPr>
        <w:drawing>
          <wp:inline distB="19050" distT="19050" distL="19050" distR="19050">
            <wp:extent cx="468958" cy="239264"/>
            <wp:effectExtent b="0" l="0" r="0" t="0"/>
            <wp:docPr id="2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68958" cy="239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break the causal link between visual observations and actuator reactions, causing hunting behaviors during closed-loop control.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inadvertent capture of personally identifiable information (PII)—including human faces, employee identification badges, or proprietary facility assets—introduces legal liabilities and privacy risks that require automated remediation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2: Embodiment and Interaction Artifacts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Embodiment artifacts arise from physical interactions between human demonstrators and collection hardware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Teleoperators working with mixed-reality head-mounted displays frequently reach up to adjust slipping headsets, adjust data gloves, or handle desktop master linkages mid-trajectory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incidental human movements introduce large, irrelevant end-effector motions that do not correspond to the physical task, polluting the policy with extraneous behavioral modes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Attentional decoupling presents an equally severe risk in egocentric demonstration rigs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Operators regularly look away from active manipulation zones—checking status monitors, observing safety personnel, or glancing across the room—while continuing manipulation tasks using peripheral vision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resulting demonstrations pair focused gaze embeddings on irrelevant scene regions with active contact manipulation, training the cross-attention modules in vision-language models to focus on non-causal visual features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Demonstrator vocalizations and head movements from casual conversation also introduce erratic camera shifts that disrupt spatial coordinate tracking.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unedited demonstration recordings often capture long static pauses prior to task initiation, post-task hesitation while waiting for software logging resets, or exploratory movements as operators test their range of motion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Ingesting these non-functional movements inflates the distribution of near-zero velocities, worsening the inertia problem during inference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3: Execution Errors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errors encompass physical and kinematic failures during demonstration capture, where the operator's control inputs cause mechanical failure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Friction instability and poor grip positioning frequently lead to micro-slips or total drops of manipulated objects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policies are trained on uncurated datasets containing these events, they treat slippage as an acceptable intermediate state, degrading physical compliance and increasing drop rates during autonomous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Unintentional collisions between manipulator links, container rims, or adjacent equipment likewise teach policies to operate near unsafe kinematic boundaries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Missed grasps followed by corrective hunting motions represent another widespread execution flaw</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Teleoperators who miss their initial grasp target often reposition, probe, and cycle the gripper before achieving stable contact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Expressive models capture these oscillatory patterns, causing deployed robots to hesitate and repeatedly open and close their grippers above target objects rather than executing decisive grasps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Unnecessary regrasping—picking up a part, setting it back on the worksurface to adjust orientation, and picking it up again without functional need—injects redundant kinematic sequences that increase total rollout time and create opportunities for compounding drift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driving master arms into mechanical stops or kinematic singularities causes sudden velocity saturation and non-linear jerk spikes that disrupt smooth trajectory modeling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4: Grasp and Contact Errors Relative to Object Part Semantics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manipulation requires grasping specific object regions based on intended downstream use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Standard geometric grasp planners often evaluate force closure while ignoring functional semantics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produces grasps that are physically stable but functionally unviable, such as gripping a pitcher by its open basin rather than its handle, or picking up a mug by its upper rim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 bypass leaves the robot unable to execute subsequent manipulation phases, such as pouring liquid or inserting the object into a fixture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Hazardous contact represents a critical safety and functional failure mode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Ingesting demonstrations where operators contact functional tool edges—such as the sharp cutting blade of a knife, the heated tip of a soldering iron, or the bristles of a brush—trains policies to adopt dangerous grasp poses during deployment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Content-region intrusion occurs when gripper pads enter the functional containment volumes of vessels, contaminating materials or disrupting payloads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grasping objects too far from their center of mass or along unmodeled surface slopes without adequate normal force produces torque imbalances and post-lift tilt, causing unpredictable trajectory deviations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5: Procedure and Task-Sequence Errors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errors represent structural failures where individual joint movements appear smooth, but the discrete operational sequence violates underlying task logic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Unlike execution failures that present clear kinematic anomalies (such as dropping an object), procedural errors involve structurally invalid transitions, including step omissions, step additions, sequence inversions, wrong tool usage, and premature task termination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procedural failures corrupt high-level planning representations, break goal-conditioned policies, and disrupt action tokenization in foundation architectures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detailed theoretical and empirical analysis of this dimension is provided in Section 4.</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Axis 6: Protocol and Collection-Brief Violations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violations occur when data collection runs fail to follow operational specifications, often due to human factors in data gathering teams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Workspace staging presents a pervasive challenge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hit shift quotas with less effort, teleoperators frequently reset target items to identical coordinates, maintaining uniform orientations and static background configurations across hundreds of runs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drastically reduces state diversity </w:t>
      </w:r>
      <w:r w:rsidDel="00000000" w:rsidR="00000000" w:rsidRPr="00000000">
        <w:rPr>
          <w:rFonts w:ascii="Google Sans" w:cs="Google Sans" w:eastAsia="Google Sans" w:hAnsi="Google Sans"/>
          <w:color w:val="1f1f1f"/>
        </w:rPr>
        <w:drawing>
          <wp:inline distB="19050" distT="19050" distL="19050" distR="19050">
            <wp:extent cx="462706" cy="245518"/>
            <wp:effectExtent b="0" l="0" r="0" t="0"/>
            <wp:docPr id="2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62706" cy="245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causes severe spatial overfitting, leaving the learned policy vulnerable to minor variations in object placement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gaming occurs when operators prioritize episode counts over demonstration quality, cutting recordings immediately upon grasp closure while skipping post-condition verification, part release, and arm retraction phases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rushing leads to movements that exceed the tracking bandwidth of follower arms, causing actuator command saturation, dynamic lag, and distorted dynamics in recorded logs.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out-of-scope behaviors—such as unscripted gestures, exploratory actions, or unauthorized tool substitutions—dilute the dataset with trajectories that do not align with target task objectives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Deep-Dive: The Procedure Dimension (Task-Sequence Failures)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procedure dimension addresses structural errors in task composition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execution errors violate physical constraints during action execution, procedural errors violate the discrete logic, temporal dependencies, and causal structure of the broader activity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robotic learning, procedural errors are particularly insidious because individual sub-trajectories frequently appear kinematically smooth and geometrically optimal, masking the structural invalidity of the episode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CANONICAL TASK GRAPH</w:t>
        <w:br w:type="textWrapping"/>
        <w:t xml:space="preserve">                     [1. Uncap Bottle]</w:t>
        <w:br w:type="textWrapping"/>
        <w:t xml:space="preserve">                            |</w:t>
        <w:br w:type="textWrapping"/>
        <w:t xml:space="preserve">                            v</w:t>
        <w:br w:type="textWrapping"/>
        <w:t xml:space="preserve">                     [2. Pour Liquid]</w:t>
        <w:br w:type="textWrapping"/>
        <w:t xml:space="preserve">                            |</w:t>
        <w:br w:type="textWrapping"/>
        <w:t xml:space="preserve">                            v</w:t>
        <w:br w:type="textWrapping"/>
        <w:t xml:space="preserve">                     [3. Close Cap]</w:t>
        <w:br w:type="textWrapping"/>
        <w:br w:type="textWrapping"/>
        <w:t xml:space="preserve">       OMISSION                         MISORDERING</w:t>
        <w:br w:type="textWrapping"/>
        <w:t xml:space="preserve">    [1. Uncap Bottle] (Skipped)      [2. Pour Liquid] (Precondition Violated)</w:t>
        <w:br w:type="textWrapping"/>
        <w:t xml:space="preserve">           |                                |</w:t>
        <w:br w:type="textWrapping"/>
        <w:t xml:space="preserve">           v                                v</w:t>
        <w:br w:type="textWrapping"/>
        <w:t xml:space="preserve">    [2. Pour Liquid] (Failed Pour)   [1. Uncap Bottle]</w:t>
        <w:br w:type="textWrapping"/>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Structural Taxonomy of Procedural Errors</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Step Omission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omission occurs when an operator deletes a required intermediate sub-task </w:t>
      </w:r>
      <w:r w:rsidDel="00000000" w:rsidR="00000000" w:rsidRPr="00000000">
        <w:rPr>
          <w:rFonts w:ascii="Google Sans" w:cs="Google Sans" w:eastAsia="Google Sans" w:hAnsi="Google Sans"/>
          <w:color w:val="1f1f1f"/>
        </w:rPr>
        <w:drawing>
          <wp:inline distB="19050" distT="19050" distL="19050" distR="19050">
            <wp:extent cx="148977" cy="242087"/>
            <wp:effectExtent b="0" l="0" r="0" t="0"/>
            <wp:docPr id="24"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148977" cy="2420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canonical sequence, transitioning directly from state </w:t>
      </w:r>
      <w:r w:rsidDel="00000000" w:rsidR="00000000" w:rsidRPr="00000000">
        <w:rPr>
          <w:rFonts w:ascii="Google Sans" w:cs="Google Sans" w:eastAsia="Google Sans" w:hAnsi="Google Sans"/>
          <w:color w:val="1f1f1f"/>
        </w:rPr>
        <w:drawing>
          <wp:inline distB="19050" distT="19050" distL="19050" distR="19050">
            <wp:extent cx="324297" cy="247992"/>
            <wp:effectExtent b="0" l="0" r="0" t="0"/>
            <wp:docPr id="2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324297" cy="24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24297" cy="247992"/>
            <wp:effectExtent b="0" l="0" r="0" t="0"/>
            <wp:docPr id="26"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24297" cy="24799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chemistry protocol or clinical reagent preparation task, for example, the operator may attempt to aspirate liquid from a container without first removing its seal or cap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omissions are typically driven by operator distraction, fatigue, or rushing to meet collection quotas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injects an irreconcilable state-action mapping failure into the training corpus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imitation model attempts to optimize an action vector </w:t>
      </w:r>
      <w:r w:rsidDel="00000000" w:rsidR="00000000" w:rsidRPr="00000000">
        <w:rPr>
          <w:rFonts w:ascii="Google Sans" w:cs="Google Sans" w:eastAsia="Google Sans" w:hAnsi="Google Sans"/>
          <w:color w:val="1f1f1f"/>
        </w:rPr>
        <w:drawing>
          <wp:inline distB="19050" distT="19050" distL="19050" distR="19050">
            <wp:extent cx="1019766" cy="247793"/>
            <wp:effectExtent b="0" l="0" r="0" t="0"/>
            <wp:docPr id="2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19766" cy="247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conditioned on visual observations that lack the preconditions established by step </w:t>
      </w:r>
      <w:r w:rsidDel="00000000" w:rsidR="00000000" w:rsidRPr="00000000">
        <w:rPr>
          <w:rFonts w:ascii="Google Sans" w:cs="Google Sans" w:eastAsia="Google Sans" w:hAnsi="Google Sans"/>
          <w:color w:val="1f1f1f"/>
        </w:rPr>
        <w:drawing>
          <wp:inline distB="19050" distT="19050" distL="19050" distR="19050">
            <wp:extent cx="148977" cy="242087"/>
            <wp:effectExtent b="0" l="0" r="0" t="0"/>
            <wp:docPr id="28"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148977" cy="24208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open container state is absent, the policy receives conflicting gradients across identical visual inputs, inflating action divergence and destabilizing diffusion score matching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Step Addition (Extraneous / Redundant Sub-tasks)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addition introduces unprescribed, task-irrelevant, or redundant sub-routines into the execution pipeline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a mechanical assembly workflow, an operator may pick up a fastener, place it down, rotate it on the table, wipe the surface, and pick it up again before inserting it into a chassis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actions typically stem from operator indecision, fiducial hunting, or reorienting parts without functional task necessity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injects cyclic graphs and non-Markovian loops into the trajectory dataset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autonomous policy reaches state </w:t>
      </w:r>
      <w:r w:rsidDel="00000000" w:rsidR="00000000" w:rsidRPr="00000000">
        <w:rPr>
          <w:rFonts w:ascii="Google Sans" w:cs="Google Sans" w:eastAsia="Google Sans" w:hAnsi="Google Sans"/>
          <w:color w:val="1f1f1f"/>
        </w:rPr>
        <w:drawing>
          <wp:inline distB="19050" distT="19050" distL="19050" distR="19050">
            <wp:extent cx="151209" cy="245715"/>
            <wp:effectExtent b="0" l="0" r="0" t="0"/>
            <wp:docPr id="29"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15120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addition modes compete with forward task progression, causing the policy to oscillate between advancing the task and executing redundant actions, resulting in persistent stalls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Step Misordering (Topological Inversions)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misordering occurs when sub-tasks are executed in an order that violates the topological sequence of the governing directed acyclic graph (DAG)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beverage preparation task, for instance, an operator might pour hot water into a dripper before placing the coffee grounds, or attempt to tighten a fastening plate before inserting the alignment pins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errors generally result from inadequate task training, operator multitasking, or confusing part layouts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Misordering presents the network with demonstration actions intended to transition the system from </w:t>
      </w:r>
      <w:r w:rsidDel="00000000" w:rsidR="00000000" w:rsidRPr="00000000">
        <w:rPr>
          <w:rFonts w:ascii="Google Sans" w:cs="Google Sans" w:eastAsia="Google Sans" w:hAnsi="Google Sans"/>
          <w:color w:val="1f1f1f"/>
        </w:rPr>
        <w:drawing>
          <wp:inline distB="19050" distT="19050" distL="19050" distR="19050">
            <wp:extent cx="726802" cy="248643"/>
            <wp:effectExtent b="0" l="0" r="0" t="0"/>
            <wp:docPr id="30"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726802" cy="248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visual environment is still in state </w:t>
      </w:r>
      <w:r w:rsidDel="00000000" w:rsidR="00000000" w:rsidRPr="00000000">
        <w:rPr>
          <w:rFonts w:ascii="Google Sans" w:cs="Google Sans" w:eastAsia="Google Sans" w:hAnsi="Google Sans"/>
          <w:color w:val="1f1f1f"/>
        </w:rPr>
        <w:drawing>
          <wp:inline distB="19050" distT="19050" distL="19050" distR="19050">
            <wp:extent cx="204490" cy="253178"/>
            <wp:effectExtent b="0" l="0" r="0" t="0"/>
            <wp:docPr id="1"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204490" cy="25317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physical preconditions of action </w:t>
      </w:r>
      <w:r w:rsidDel="00000000" w:rsidR="00000000" w:rsidRPr="00000000">
        <w:rPr>
          <w:rFonts w:ascii="Google Sans" w:cs="Google Sans" w:eastAsia="Google Sans" w:hAnsi="Google Sans"/>
          <w:color w:val="1f1f1f"/>
        </w:rPr>
        <w:drawing>
          <wp:inline distB="19050" distT="19050" distL="19050" distR="19050">
            <wp:extent cx="158576" cy="242528"/>
            <wp:effectExtent b="0" l="0" r="0" t="0"/>
            <wp:docPr id="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158576" cy="242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unmet, imitating these trajectories during deployment leads to collisions, mechanical jams, and high prediction error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Wrong Tool / Semantic Object Substitution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substitution errors occur when an operator executes a kinematically correct manipulation pattern using the wrong tool or object in the workspace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include selecting an incorrect torque driver bit, grasping an M4 screw instead of an M6 screw, or using a slicing tool instead of a spatula for spreading adhesive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mistakes typically arise from visual clutter, poor bin separation, or ambiguous component markings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foundation vision-language-action models (such as OpenVLA or </w:t>
      </w:r>
      <w:r w:rsidDel="00000000" w:rsidR="00000000" w:rsidRPr="00000000">
        <w:rPr>
          <w:rFonts w:ascii="Google Sans" w:cs="Google Sans" w:eastAsia="Google Sans" w:hAnsi="Google Sans"/>
          <w:color w:val="1f1f1f"/>
        </w:rPr>
        <w:drawing>
          <wp:inline distB="19050" distT="19050" distL="19050" distR="19050">
            <wp:extent cx="190053" cy="247069"/>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053" cy="247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cross-attention mechanisms align linguistic prompt tokens with visual patch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visual representation shows tool </w:t>
      </w:r>
      <w:r w:rsidDel="00000000" w:rsidR="00000000" w:rsidRPr="00000000">
        <w:rPr>
          <w:rFonts w:ascii="Google Sans" w:cs="Google Sans" w:eastAsia="Google Sans" w:hAnsi="Google Sans"/>
          <w:color w:val="1f1f1f"/>
        </w:rPr>
        <w:drawing>
          <wp:inline distB="19050" distT="19050" distL="19050" distR="19050">
            <wp:extent cx="177626" cy="243067"/>
            <wp:effectExtent b="0" l="0" r="0" t="0"/>
            <wp:docPr id="4"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77626" cy="243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paired prompt specifies tool </w:t>
      </w:r>
      <w:r w:rsidDel="00000000" w:rsidR="00000000" w:rsidRPr="00000000">
        <w:rPr>
          <w:rFonts w:ascii="Google Sans" w:cs="Google Sans" w:eastAsia="Google Sans" w:hAnsi="Google Sans"/>
          <w:color w:val="1f1f1f"/>
        </w:rPr>
        <w:drawing>
          <wp:inline distB="19050" distT="19050" distL="19050" distR="19050">
            <wp:extent cx="157385" cy="240707"/>
            <wp:effectExtent b="0" l="0" r="0" t="0"/>
            <wp:docPr id="5"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157385" cy="24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policy trains on conflicting multimodal representations, degrading its zero-shot semantic grounding and spatial localization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Early Termination &amp; Incomplete Task States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termination occurs when trajectory recording is stopped before the physical environment satisfies the task's terminal post-conditions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Examples include releasing a component before it has fully engaged with a snap-fit connector, or stopping the recording while an object is still sliding into place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premature cuts are usually caused by operator haste or difficulty verifying component seating from limited camera perspectives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removes essential terminal goal states from the demonstration corpus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goal-conditioned settings </w:t>
      </w:r>
      <w:r w:rsidDel="00000000" w:rsidR="00000000" w:rsidRPr="00000000">
        <w:rPr>
          <w:rFonts w:ascii="Google Sans" w:cs="Google Sans" w:eastAsia="Google Sans" w:hAnsi="Google Sans"/>
          <w:color w:val="1f1f1f"/>
        </w:rPr>
        <w:drawing>
          <wp:inline distB="19050" distT="19050" distL="19050" distR="19050">
            <wp:extent cx="936204" cy="248381"/>
            <wp:effectExtent b="0" l="0" r="0" t="0"/>
            <wp:docPr id="6"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936204" cy="248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model is unable to learn accurate state-to-goal convergence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autonomous deployment, the policy performs gross spatial approaches reasonably well, but regularly stalls or aborts during the final precision seating phase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and Tokenization Degradation in VLA Architectures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failure modes detailed above compromise the internal representations of modern foundation models through specific architectural pathways: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FAST and Autoregressive Action Tokenizers</w:t>
      </w:r>
      <w:r w:rsidDel="00000000" w:rsidR="00000000" w:rsidRPr="00000000">
        <w:rPr>
          <w:rFonts w:ascii="Google Sans" w:cs="Google Sans" w:eastAsia="Google Sans" w:hAnsi="Google Sans"/>
          <w:color w:val="1f1f1f"/>
          <w:rtl w:val="0"/>
        </w:rPr>
        <w:t xml:space="preserve">: Architectures such as </w:t>
      </w:r>
      <w:r w:rsidDel="00000000" w:rsidR="00000000" w:rsidRPr="00000000">
        <w:rPr>
          <w:rFonts w:ascii="Google Sans" w:cs="Google Sans" w:eastAsia="Google Sans" w:hAnsi="Google Sans"/>
          <w:color w:val="1f1f1f"/>
        </w:rPr>
        <w:drawing>
          <wp:inline distB="19050" distT="19050" distL="19050" distR="19050">
            <wp:extent cx="342528" cy="247381"/>
            <wp:effectExtent b="0" l="0" r="0" t="0"/>
            <wp:docPr id="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42528" cy="247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utilize discrete action tokenizers (e.g., FAST) to compress high-frequency continuous control signals into discrete tokens processed alongside language tokens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Procedural disruptions—such as abrupt step omissions or cyclic additions—introduce out-of-distribution token sequences that destabilize the autoregressive prior, resulting in fragmented action predictions and erratic motor commands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 Chunk Representation Collapse</w:t>
      </w:r>
      <w:r w:rsidDel="00000000" w:rsidR="00000000" w:rsidRPr="00000000">
        <w:rPr>
          <w:rFonts w:ascii="Google Sans" w:cs="Google Sans" w:eastAsia="Google Sans" w:hAnsi="Google Sans"/>
          <w:color w:val="1f1f1f"/>
          <w:rtl w:val="0"/>
        </w:rPr>
        <w:t xml:space="preserve">: Models using action chunking (ACT, Diffusion Policy) predict continuous multi-step trajectory blocks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8"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procedural error occurs within a chunk horizon, the latent style encoder is forced to map discontinuous sub-task objectives into a single continuous latent variable </w:t>
      </w:r>
      <w:r w:rsidDel="00000000" w:rsidR="00000000" w:rsidRPr="00000000">
        <w:rPr>
          <w:rFonts w:ascii="Google Sans" w:cs="Google Sans" w:eastAsia="Google Sans" w:hAnsi="Google Sans"/>
          <w:color w:val="1f1f1f"/>
        </w:rPr>
        <w:drawing>
          <wp:inline distB="19050" distT="19050" distL="19050" distR="19050">
            <wp:extent cx="99715" cy="25926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99715" cy="25926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causes chunk boundary discontinuities, where successive action blocks produce conflicting directional trajectories, generating severe joint chatter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Temporal Action Abstraction and Options Frameworks</w:t>
      </w:r>
      <w:r w:rsidDel="00000000" w:rsidR="00000000" w:rsidRPr="00000000">
        <w:rPr>
          <w:rFonts w:ascii="Google Sans" w:cs="Google Sans" w:eastAsia="Google Sans" w:hAnsi="Google Sans"/>
          <w:color w:val="1f1f1f"/>
          <w:rtl w:val="0"/>
        </w:rPr>
        <w:t xml:space="preserve">: Hierarchical policy frameworks rely on macro-actions or sub-goal conditions to solve long-horizon tasks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Procedural variations that violate the underlying task graph undermine these temporal abstractions, causing the high-level policy to issue conflicting sub-goal tokens and trapping the low-level controller in unresolvable execution loops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Insights from Egocentric Procedural Error Benchmarks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egocentric benchmark datasets provide systematic taxonomies and baseline evaluations for detecting procedural errors in long-horizon manipulation:</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CaptainCook4D (NeurIPS 2024)</w:t>
      </w:r>
      <w:r w:rsidDel="00000000" w:rsidR="00000000" w:rsidRPr="00000000">
        <w:rPr>
          <w:rFonts w:ascii="Google Sans" w:cs="Google Sans" w:eastAsia="Google Sans" w:hAnsi="Google Sans"/>
          <w:color w:val="1f1f1f"/>
          <w:rtl w:val="0"/>
        </w:rPr>
        <w:t xml:space="preserve">: Evaluates complex procedural manipulation across 384 recordings (94.5 hours) with 5.3K step annotations and 10K fine-grained interaction labels in real kitchen environments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dataset demonstrates that procedural errors compound non-linearly; an uncorrected step omission cascades across subsequent steps, causing secondary physical failures (such as burning, boiling over, or mechanical spillage) in over 60% of downstream tasks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EgoPER (CVPR 2024)</w:t>
      </w:r>
      <w:r w:rsidDel="00000000" w:rsidR="00000000" w:rsidRPr="00000000">
        <w:rPr>
          <w:rFonts w:ascii="Google Sans" w:cs="Google Sans" w:eastAsia="Google Sans" w:hAnsi="Google Sans"/>
          <w:color w:val="1f1f1f"/>
          <w:rtl w:val="0"/>
        </w:rPr>
        <w:t xml:space="preserve">: Establishes a structured procedural error taxonomy (omission, addition, modification, slip, and correction) evaluated on untrimmed egocentric video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EgoPER confirms that action segmentation models trained solely on clean demonstrations experience severe boundary breakdown when exposed to procedural errors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Reliable error detection requires multi-prototype contrastive learning to capture normal operational variation without misclassifying minor stylistic differences as true errors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Assembly101</w:t>
      </w:r>
      <w:r w:rsidDel="00000000" w:rsidR="00000000" w:rsidRPr="00000000">
        <w:rPr>
          <w:rFonts w:ascii="Google Sans" w:cs="Google Sans" w:eastAsia="Google Sans" w:hAnsi="Google Sans"/>
          <w:color w:val="1f1f1f"/>
          <w:rtl w:val="0"/>
        </w:rPr>
        <w:t xml:space="preserve">: Analyzing 4,321 multi-view video streams of complex mechanical assemblies, Assembly101 reveals that manipulation actions often display mirror-like symmetries (e.g., attaching versus detaching parts)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Procedural misordering regularly triggers human correction behaviors (such as detaching an incorrectly oriented component)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Unless these corrections are explicitly segmented and labeled, standard behavioral cloning treats corrective disassembly as forward assembly, causing autonomous policies to assemble and disassemble components in infinite cycles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PIE-V (2026)</w:t>
      </w:r>
      <w:r w:rsidDel="00000000" w:rsidR="00000000" w:rsidRPr="00000000">
        <w:rPr>
          <w:rFonts w:ascii="Google Sans" w:cs="Google Sans" w:eastAsia="Google Sans" w:hAnsi="Google Sans"/>
          <w:color w:val="1f1f1f"/>
          <w:rtl w:val="0"/>
        </w:rPr>
        <w:t xml:space="preserve">: Demonstrates that human procedural error probability scales with cognitive load and task phase depth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By augmenting Ego-Exo4D keystep procedures with controlled deviations, PIE-V demonstrates that procedural verification cannot rely solely on the visual appearance of hands; it must verify intermediate object state changes and spatial configurations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Algorithmic Formulations for Automated Procedure Verification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procedurally corrupted demonstrations from entering training mixtures, an Auto-QC framework requires specialized algorithmic verification pipelines capable of tracking multi-step temporal dependencies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Effect Modeling (AEM)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Effect Modeling shifts verification from transient motion execution to post-action environmental states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Procedural errors—such as omitting a fastener or failing to stir a mixture—often look kinematically valid during execution; the error becomes apparent only in the resulting object state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AEM samples key effect frames </w:t>
      </w:r>
      <w:r w:rsidDel="00000000" w:rsidR="00000000" w:rsidRPr="00000000">
        <w:rPr>
          <w:rFonts w:ascii="Google Sans" w:cs="Google Sans" w:eastAsia="Google Sans" w:hAnsi="Google Sans"/>
          <w:color w:val="1f1f1f"/>
        </w:rPr>
        <w:drawing>
          <wp:inline distB="19050" distT="19050" distL="19050" distR="19050">
            <wp:extent cx="240803" cy="250436"/>
            <wp:effectExtent b="0" l="0" r="0" t="0"/>
            <wp:docPr id="10"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240803" cy="250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immediately following action completion intervals determined by an action segmentation backbone (e.g., ActionFormer)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7227"/>
            <wp:effectExtent b="0" l="0" r="0" t="0"/>
            <wp:docPr id="43"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905500" cy="74722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each sampled frame </w:t>
      </w:r>
      <w:r w:rsidDel="00000000" w:rsidR="00000000" w:rsidRPr="00000000">
        <w:rPr>
          <w:rFonts w:ascii="Google Sans" w:cs="Google Sans" w:eastAsia="Google Sans" w:hAnsi="Google Sans"/>
          <w:color w:val="1f1f1f"/>
        </w:rPr>
        <w:drawing>
          <wp:inline distB="19050" distT="19050" distL="19050" distR="19050">
            <wp:extent cx="240803" cy="250436"/>
            <wp:effectExtent b="0" l="0" r="0" t="0"/>
            <wp:docPr id="44"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240803" cy="250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dual multimodal representations are extracted:</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Visual Grounding: Feature vectors </w:t>
      </w:r>
      <w:r w:rsidDel="00000000" w:rsidR="00000000" w:rsidRPr="00000000">
        <w:rPr>
          <w:rFonts w:ascii="Google Sans" w:cs="Google Sans" w:eastAsia="Google Sans" w:hAnsi="Google Sans"/>
          <w:color w:val="1f1f1f"/>
        </w:rPr>
        <w:drawing>
          <wp:inline distB="19050" distT="19050" distL="19050" distR="19050">
            <wp:extent cx="246832" cy="246832"/>
            <wp:effectExtent b="0" l="0" r="0" t="0"/>
            <wp:docPr id="45"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246832" cy="246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extracted via zero-shot open-vocabulary bounding detectors (e.g., Grounding DINO) targeting manipulated components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Symbolic Scene Graphs: Directed relational graphs </w:t>
      </w:r>
      <w:r w:rsidDel="00000000" w:rsidR="00000000" w:rsidRPr="00000000">
        <w:rPr>
          <w:rFonts w:ascii="Google Sans" w:cs="Google Sans" w:eastAsia="Google Sans" w:hAnsi="Google Sans"/>
          <w:color w:val="1f1f1f"/>
        </w:rPr>
        <w:drawing>
          <wp:inline distB="19050" distT="19050" distL="19050" distR="19050">
            <wp:extent cx="1197397" cy="237579"/>
            <wp:effectExtent b="0" l="0" r="0" t="0"/>
            <wp:docPr id="46"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1197397" cy="237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generated via vision-language foundation models, where nodes </w:t>
      </w:r>
      <w:r w:rsidDel="00000000" w:rsidR="00000000" w:rsidRPr="00000000">
        <w:rPr>
          <w:rFonts w:ascii="Google Sans" w:cs="Google Sans" w:eastAsia="Google Sans" w:hAnsi="Google Sans"/>
          <w:color w:val="1f1f1f"/>
        </w:rPr>
        <w:drawing>
          <wp:inline distB="19050" distT="19050" distL="19050" distR="19050">
            <wp:extent cx="527894" cy="249550"/>
            <wp:effectExtent b="0" l="0" r="0" t="0"/>
            <wp:docPr id="47"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27894" cy="24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workspace entities and edges </w:t>
      </w:r>
      <w:r w:rsidDel="00000000" w:rsidR="00000000" w:rsidRPr="00000000">
        <w:rPr>
          <w:rFonts w:ascii="Google Sans" w:cs="Google Sans" w:eastAsia="Google Sans" w:hAnsi="Google Sans"/>
          <w:color w:val="1f1f1f"/>
        </w:rPr>
        <w:drawing>
          <wp:inline distB="19050" distT="19050" distL="19050" distR="19050">
            <wp:extent cx="573212" cy="248392"/>
            <wp:effectExtent b="0" l="0" r="0" t="0"/>
            <wp:docPr id="48"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573212" cy="248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encode spatial predicates (e.g., </w:t>
      </w:r>
      <w:r w:rsidDel="00000000" w:rsidR="00000000" w:rsidRPr="00000000">
        <w:rPr>
          <w:rFonts w:ascii="Google Sans" w:cs="Google Sans" w:eastAsia="Google Sans" w:hAnsi="Google Sans"/>
          <w:color w:val="1f1f1f"/>
        </w:rPr>
        <w:drawing>
          <wp:inline distB="19050" distT="19050" distL="19050" distR="19050">
            <wp:extent cx="1446390" cy="237893"/>
            <wp:effectExtent b="0" l="0" r="0" t="0"/>
            <wp:docPr id="49"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1446390" cy="237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21436" cy="238330"/>
            <wp:effectExtent b="0" l="0" r="0" t="0"/>
            <wp:docPr id="50"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2421436" cy="238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features are projected into an effect-aware latent space via a learnable effect token </w:t>
      </w:r>
      <w:r w:rsidDel="00000000" w:rsidR="00000000" w:rsidRPr="00000000">
        <w:rPr>
          <w:rFonts w:ascii="Google Sans" w:cs="Google Sans" w:eastAsia="Google Sans" w:hAnsi="Google Sans"/>
          <w:color w:val="1f1f1f"/>
        </w:rPr>
        <w:drawing>
          <wp:inline distB="19050" distT="19050" distL="19050" distR="19050">
            <wp:extent cx="245864" cy="245864"/>
            <wp:effectExtent b="0" l="0" r="0" t="0"/>
            <wp:docPr id="51"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245864" cy="245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comparing the ongoing action's effect against canonical task prototypes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If the state distance exceeds a dynamic confidence threshold, the trajectory is flagged for omission or improper tool engagement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Generalized Task Graph Alignment (GTG2Vid &amp; AMNAR)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structures are formalized as Generalized Task Graphs (GTG), represented as Directed Acyclic Graphs </w:t>
      </w:r>
      <w:r w:rsidDel="00000000" w:rsidR="00000000" w:rsidRPr="00000000">
        <w:rPr>
          <w:rFonts w:ascii="Google Sans" w:cs="Google Sans" w:eastAsia="Google Sans" w:hAnsi="Google Sans"/>
          <w:color w:val="1f1f1f"/>
        </w:rPr>
        <w:drawing>
          <wp:inline distB="19050" distT="19050" distL="19050" distR="19050">
            <wp:extent cx="886346" cy="238265"/>
            <wp:effectExtent b="0" l="0" r="0" t="0"/>
            <wp:docPr id="52"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886346" cy="238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vertices </w:t>
      </w:r>
      <w:r w:rsidDel="00000000" w:rsidR="00000000" w:rsidRPr="00000000">
        <w:rPr>
          <w:rFonts w:ascii="Google Sans" w:cs="Google Sans" w:eastAsia="Google Sans" w:hAnsi="Google Sans"/>
          <w:color w:val="1f1f1f"/>
        </w:rPr>
        <w:drawing>
          <wp:inline distB="19050" distT="19050" distL="19050" distR="19050">
            <wp:extent cx="477813" cy="248463"/>
            <wp:effectExtent b="0" l="0" r="0" t="0"/>
            <wp:docPr id="42"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477813" cy="248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valid procedural keysteps and edges </w:t>
      </w:r>
      <w:r w:rsidDel="00000000" w:rsidR="00000000" w:rsidRPr="00000000">
        <w:rPr>
          <w:rFonts w:ascii="Google Sans" w:cs="Google Sans" w:eastAsia="Google Sans" w:hAnsi="Google Sans"/>
          <w:color w:val="1f1f1f"/>
        </w:rPr>
        <w:drawing>
          <wp:inline distB="19050" distT="19050" distL="19050" distR="19050">
            <wp:extent cx="814313" cy="249084"/>
            <wp:effectExtent b="0" l="0" r="0" t="0"/>
            <wp:docPr id="33"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814313" cy="249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 permissible transition orders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GTG2Vid framework aligns untrimmed video frame sequences </w:t>
      </w:r>
      <w:r w:rsidDel="00000000" w:rsidR="00000000" w:rsidRPr="00000000">
        <w:rPr>
          <w:rFonts w:ascii="Google Sans" w:cs="Google Sans" w:eastAsia="Google Sans" w:hAnsi="Google Sans"/>
          <w:color w:val="1f1f1f"/>
        </w:rPr>
        <w:drawing>
          <wp:inline distB="19050" distT="19050" distL="19050" distR="19050">
            <wp:extent cx="1273302" cy="247059"/>
            <wp:effectExtent b="0" l="0" r="0" t="0"/>
            <wp:docPr id="34"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1273302" cy="247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GTG through a dynamic programming formulation that incorporates dynamic frame-dropping and node-dropping penalties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48473"/>
            <wp:effectExtent b="0" l="0" r="0" t="0"/>
            <wp:docPr id="35"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905500" cy="114847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operator omits a mandatory step, the dynamic programming solver drops the corresponding node, incurring a localized penalty </w:t>
      </w:r>
      <w:r w:rsidDel="00000000" w:rsidR="00000000" w:rsidRPr="00000000">
        <w:rPr>
          <w:rFonts w:ascii="Google Sans" w:cs="Google Sans" w:eastAsia="Google Sans" w:hAnsi="Google Sans"/>
          <w:color w:val="1f1f1f"/>
        </w:rPr>
        <w:drawing>
          <wp:inline distB="19050" distT="19050" distL="19050" distR="19050">
            <wp:extent cx="749350" cy="246621"/>
            <wp:effectExtent b="0" l="0" r="0" t="0"/>
            <wp:docPr id="36"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749350" cy="24662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Conversely, when an operator introduces an extraneous movement (addition or slip), the algorithm activates </w:t>
      </w:r>
      <w:r w:rsidDel="00000000" w:rsidR="00000000" w:rsidRPr="00000000">
        <w:rPr>
          <w:rFonts w:ascii="Google Sans" w:cs="Google Sans" w:eastAsia="Google Sans" w:hAnsi="Google Sans"/>
          <w:color w:val="1f1f1f"/>
        </w:rPr>
        <w:drawing>
          <wp:inline distB="19050" distT="19050" distL="19050" distR="19050">
            <wp:extent cx="806797" cy="246785"/>
            <wp:effectExtent b="0" l="0" r="0" t="0"/>
            <wp:docPr id="37"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806797" cy="246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temporally localizing the error segment without losing overall tracking on the GTG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AMNAR architecture extends this principle using a Potential Action Prediction Block (PAPB)</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Conditioned on the sequence of completed steps up to time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38"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PAPB identifies all valid successor nodes </w:t>
      </w:r>
      <w:r w:rsidDel="00000000" w:rsidR="00000000" w:rsidRPr="00000000">
        <w:rPr>
          <w:rFonts w:ascii="Google Sans" w:cs="Google Sans" w:eastAsia="Google Sans" w:hAnsi="Google Sans"/>
          <w:color w:val="1f1f1f"/>
        </w:rPr>
        <w:drawing>
          <wp:inline distB="19050" distT="19050" distL="19050" distR="19050">
            <wp:extent cx="1196054" cy="237312"/>
            <wp:effectExtent b="0" l="0" r="0" t="0"/>
            <wp:docPr id="39"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1196054" cy="23731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Representation Matching Block (RMB) computes the minimum Euclidean distance between the ongoing segment embedding </w:t>
      </w:r>
      <w:r w:rsidDel="00000000" w:rsidR="00000000" w:rsidRPr="00000000">
        <w:rPr>
          <w:rFonts w:ascii="Google Sans" w:cs="Google Sans" w:eastAsia="Google Sans" w:hAnsi="Google Sans"/>
          <w:color w:val="1f1f1f"/>
        </w:rPr>
        <w:drawing>
          <wp:inline distB="19050" distT="19050" distL="19050" distR="19050">
            <wp:extent cx="150465" cy="244506"/>
            <wp:effectExtent b="0" l="0" r="0" t="0"/>
            <wp:docPr id="40"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150465" cy="244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class-conditional cluster prototypes of all valid child nodes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7227"/>
            <wp:effectExtent b="0" l="0" r="0" t="0"/>
            <wp:docPr id="41"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905500" cy="74722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075801" cy="247529"/>
            <wp:effectExtent b="0" l="0" r="0" t="0"/>
            <wp:docPr id="31"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1075801" cy="247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segment is rejected as an invalid sequence violation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Neuro-Symbolic &amp; PDDL Verification Pipelines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structured industrial manipulation, procedural workflows can be expressed in Planning Domain Definition Language (PDDL) syntax</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Each valid procedural keystep is defined as a formal action schema: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32"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action segmentation backbones (such as ActionFormer or MS-TCN++) predict discrete action intervals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 explicit symbolic state engine tracks the world state </w:t>
      </w:r>
      <w:r w:rsidDel="00000000" w:rsidR="00000000" w:rsidRPr="00000000">
        <w:rPr>
          <w:rFonts w:ascii="Google Sans" w:cs="Google Sans" w:eastAsia="Google Sans" w:hAnsi="Google Sans"/>
          <w:color w:val="1f1f1f"/>
        </w:rPr>
        <w:drawing>
          <wp:inline distB="19050" distT="19050" distL="19050" distR="19050">
            <wp:extent cx="593228" cy="248773"/>
            <wp:effectExtent b="0" l="0" r="0" t="0"/>
            <wp:docPr id="67" name="image55.png"/>
            <a:graphic>
              <a:graphicData uri="http://schemas.openxmlformats.org/drawingml/2006/picture">
                <pic:pic>
                  <pic:nvPicPr>
                    <pic:cNvPr id="0" name="image55.png"/>
                    <pic:cNvPicPr preferRelativeResize="0"/>
                  </pic:nvPicPr>
                  <pic:blipFill>
                    <a:blip r:embed="rId72"/>
                    <a:srcRect b="0" l="0" r="0" t="0"/>
                    <a:stretch>
                      <a:fillRect/>
                    </a:stretch>
                  </pic:blipFill>
                  <pic:spPr>
                    <a:xfrm>
                      <a:off x="0" y="0"/>
                      <a:ext cx="593228" cy="24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2474" cy="238241"/>
            <wp:effectExtent b="0" l="0" r="0" t="0"/>
            <wp:docPr id="68"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152474"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set of grounded predicates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executing action segment </w:t>
      </w:r>
      <w:r w:rsidDel="00000000" w:rsidR="00000000" w:rsidRPr="00000000">
        <w:rPr>
          <w:rFonts w:ascii="Google Sans" w:cs="Google Sans" w:eastAsia="Google Sans" w:hAnsi="Google Sans"/>
          <w:color w:val="1f1f1f"/>
        </w:rPr>
        <w:drawing>
          <wp:inline distB="19050" distT="19050" distL="19050" distR="19050">
            <wp:extent cx="189161" cy="245909"/>
            <wp:effectExtent b="0" l="0" r="0" t="0"/>
            <wp:docPr id="69" name="image75.png"/>
            <a:graphic>
              <a:graphicData uri="http://schemas.openxmlformats.org/drawingml/2006/picture">
                <pic:pic>
                  <pic:nvPicPr>
                    <pic:cNvPr id="0" name="image75.png"/>
                    <pic:cNvPicPr preferRelativeResize="0"/>
                  </pic:nvPicPr>
                  <pic:blipFill>
                    <a:blip r:embed="rId74"/>
                    <a:srcRect b="0" l="0" r="0" t="0"/>
                    <a:stretch>
                      <a:fillRect/>
                    </a:stretch>
                  </pic:blipFill>
                  <pic:spPr>
                    <a:xfrm>
                      <a:off x="0" y="0"/>
                      <a:ext cx="189161" cy="245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verification engine asserts: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70" name="image57.png"/>
            <a:graphic>
              <a:graphicData uri="http://schemas.openxmlformats.org/drawingml/2006/picture">
                <pic:pic>
                  <pic:nvPicPr>
                    <pic:cNvPr id="0" name="image57.png"/>
                    <pic:cNvPicPr preferRelativeResize="0"/>
                  </pic:nvPicPr>
                  <pic:blipFill>
                    <a:blip r:embed="rId75"/>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action completion, the state engine updates the world state: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71"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2163813" cy="247838"/>
            <wp:effectExtent b="0" l="0" r="0" t="0"/>
            <wp:docPr id="72" name="image107.png"/>
            <a:graphic>
              <a:graphicData uri="http://schemas.openxmlformats.org/drawingml/2006/picture">
                <pic:pic>
                  <pic:nvPicPr>
                    <pic:cNvPr id="0" name="image107.png"/>
                    <pic:cNvPicPr preferRelativeResize="0"/>
                  </pic:nvPicPr>
                  <pic:blipFill>
                    <a:blip r:embed="rId77"/>
                    <a:srcRect b="0" l="0" r="0" t="0"/>
                    <a:stretch>
                      <a:fillRect/>
                    </a:stretch>
                  </pic:blipFill>
                  <pic:spPr>
                    <a:xfrm>
                      <a:off x="0" y="0"/>
                      <a:ext cx="2163813" cy="247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trajectory triggers an automated deterministic fault flag (such as a precondition violation indicating an unremoved cap prior to pouring), immediately halting ingestion of the corrupted trajectory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Foundation Model Reasoning Pipelines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structured PDDL domains are unavailable, frontier vision-language models (such as Gemini 1.5 Pro or GPT-4o) serve as zero-shot procedural judges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Raw demonstration streams are subsampled around candidate action keyframes, packaging multi-view images alongside camera calibration metadata and operational task briefs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directs the multimodal judge to evaluate the keyframe sequence against the reference task specification. It explicitly probes for step omissions, extraneous or cyclical sub-routines, topological misorderings, incorrect tool choices, and early task termination.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outputs a structured JSON object containing a binary validity flag, an overall confidence score, a list of identified deviations with corresponding timestamp boundaries, the specific precondition violated, and an automated curation decision (such as hard rejection or surgical segment excision).</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End-to-End Automated Quality Control (Auto-QC) System Architecture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these verification mechanisms across high-throughput demonstration pipelines, an Auto-QC system must balance computational latency with semantic depth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is achieved via a four-stage cascading filter architecture. Low-latency kinematic and hardware screening filters eliminate gross hardware defects early, preserving computationally intensive spatial, affordance, and multimodal reasoning for candidate clean trajectories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Cascading Architectural Stages</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1: Deterministic Signal &amp; Kinematic Screening</w:t>
      </w:r>
      <w:r w:rsidDel="00000000" w:rsidR="00000000" w:rsidRPr="00000000">
        <w:rPr>
          <w:rFonts w:ascii="Google Sans" w:cs="Google Sans" w:eastAsia="Google Sans" w:hAnsi="Google Sans"/>
          <w:color w:val="1f1f1f"/>
          <w:rtl w:val="0"/>
        </w:rPr>
        <w:t xml:space="preserve">: Evaluates hardware timestamp regularity across all logging channels, dropping trajectories where timestamp jitter exceeds tolerances: </w:t>
      </w:r>
      <w:r w:rsidDel="00000000" w:rsidR="00000000" w:rsidRPr="00000000">
        <w:rPr>
          <w:rFonts w:ascii="Google Sans" w:cs="Google Sans" w:eastAsia="Google Sans" w:hAnsi="Google Sans"/>
          <w:color w:val="1f1f1f"/>
        </w:rPr>
        <w:drawing>
          <wp:inline distB="19050" distT="19050" distL="19050" distR="19050">
            <wp:extent cx="2672429" cy="247271"/>
            <wp:effectExtent b="0" l="0" r="0" t="0"/>
            <wp:docPr id="73"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2672429" cy="247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Numerical derivatives of joint positions </w:t>
      </w:r>
      <w:r w:rsidDel="00000000" w:rsidR="00000000" w:rsidRPr="00000000">
        <w:rPr>
          <w:rFonts w:ascii="Google Sans" w:cs="Google Sans" w:eastAsia="Google Sans" w:hAnsi="Google Sans"/>
          <w:color w:val="1f1f1f"/>
        </w:rPr>
        <w:drawing>
          <wp:inline distB="19050" distT="19050" distL="19050" distR="19050">
            <wp:extent cx="317748" cy="250347"/>
            <wp:effectExtent b="0" l="0" r="0" t="0"/>
            <wp:docPr id="74"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317748" cy="250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calculated to detect discontinuous velocity jumps, excessive jerk profiles (</w:t>
      </w:r>
      <w:r w:rsidDel="00000000" w:rsidR="00000000" w:rsidRPr="00000000">
        <w:rPr>
          <w:rFonts w:ascii="Google Sans" w:cs="Google Sans" w:eastAsia="Google Sans" w:hAnsi="Google Sans"/>
          <w:color w:val="1f1f1f"/>
        </w:rPr>
        <w:drawing>
          <wp:inline distB="19050" distT="19050" distL="19050" distR="19050">
            <wp:extent cx="1021775" cy="248282"/>
            <wp:effectExtent b="0" l="0" r="0" t="0"/>
            <wp:docPr id="64" name="image80.png"/>
            <a:graphic>
              <a:graphicData uri="http://schemas.openxmlformats.org/drawingml/2006/picture">
                <pic:pic>
                  <pic:nvPicPr>
                    <pic:cNvPr id="0" name="image80.png"/>
                    <pic:cNvPicPr preferRelativeResize="0"/>
                  </pic:nvPicPr>
                  <pic:blipFill>
                    <a:blip r:embed="rId80"/>
                    <a:srcRect b="0" l="0" r="0" t="0"/>
                    <a:stretch>
                      <a:fillRect/>
                    </a:stretch>
                  </pic:blipFill>
                  <pic:spPr>
                    <a:xfrm>
                      <a:off x="0" y="0"/>
                      <a:ext cx="1021775" cy="248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joint limit breaches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Optical integrity is verified by measuring Laplacian image variance (</w:t>
      </w:r>
      <w:r w:rsidDel="00000000" w:rsidR="00000000" w:rsidRPr="00000000">
        <w:rPr>
          <w:rFonts w:ascii="Google Sans" w:cs="Google Sans" w:eastAsia="Google Sans" w:hAnsi="Google Sans"/>
          <w:color w:val="1f1f1f"/>
        </w:rPr>
        <w:drawing>
          <wp:inline distB="19050" distT="19050" distL="19050" distR="19050">
            <wp:extent cx="1418558" cy="247534"/>
            <wp:effectExtent b="0" l="0" r="0" t="0"/>
            <wp:docPr id="65"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1418558" cy="2475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bounding box hand-presence checks, and lightweight face/badge detectors (e.g., YOLOv8-Pose) to blur or flag PII breaches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2: Semantic Contact, Affordance, and Execution Verification</w:t>
      </w:r>
      <w:r w:rsidDel="00000000" w:rsidR="00000000" w:rsidRPr="00000000">
        <w:rPr>
          <w:rFonts w:ascii="Google Sans" w:cs="Google Sans" w:eastAsia="Google Sans" w:hAnsi="Google Sans"/>
          <w:color w:val="1f1f1f"/>
          <w:rtl w:val="0"/>
        </w:rPr>
        <w:t xml:space="preserve">: Estimates 6-DoF poses of manipulator grippers and workspace objects using frameworks like ContactPose and SAGP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Evaluates hand-mesh intersections with predefined object CAD models to detect handle bypass or hazardous contacts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Concurrently, high-frequency 6-axis force-torque wrist logs are monitored to detect uncommanded wrench spikes (collisions) and relative object-gripper coordinate shifts (micro-slips)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3: High-Level Procedural and Sequence Auto-QC</w:t>
      </w:r>
      <w:r w:rsidDel="00000000" w:rsidR="00000000" w:rsidRPr="00000000">
        <w:rPr>
          <w:rFonts w:ascii="Google Sans" w:cs="Google Sans" w:eastAsia="Google Sans" w:hAnsi="Google Sans"/>
          <w:color w:val="1f1f1f"/>
          <w:rtl w:val="0"/>
        </w:rPr>
        <w:t xml:space="preserve">: Ingests multi-view video into an ActionFormer backbone to produce discrete action segments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Action Effect Modeling evaluates post-action effect frames using Grounding DINO to confirm expected physical state changes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resulting sequence is evaluated via GTG2Vid dynamic programming and AMNAR verification to detect step omissions, misorderings, or cyclical additions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Trajectories with ambiguous alignment scores are routed to a multimodal foundation model for semantic adjudication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4: Information-Theoretic Trajectory Curation</w:t>
      </w:r>
      <w:r w:rsidDel="00000000" w:rsidR="00000000" w:rsidRPr="00000000">
        <w:rPr>
          <w:rFonts w:ascii="Google Sans" w:cs="Google Sans" w:eastAsia="Google Sans" w:hAnsi="Google Sans"/>
          <w:color w:val="1f1f1f"/>
          <w:rtl w:val="0"/>
        </w:rPr>
        <w:t xml:space="preserve">: Demonstrations that pass all discrete procedural and execution gates undergo distributional evaluation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DemInf algorithm computes the mutual information </w:t>
      </w:r>
      <w:r w:rsidDel="00000000" w:rsidR="00000000" w:rsidRPr="00000000">
        <w:rPr>
          <w:rFonts w:ascii="Google Sans" w:cs="Google Sans" w:eastAsia="Google Sans" w:hAnsi="Google Sans"/>
          <w:color w:val="1f1f1f"/>
        </w:rPr>
        <w:drawing>
          <wp:inline distB="19050" distT="19050" distL="19050" distR="19050">
            <wp:extent cx="546720" cy="220606"/>
            <wp:effectExtent b="0" l="0" r="0" t="0"/>
            <wp:docPr id="66" name="image85.png"/>
            <a:graphic>
              <a:graphicData uri="http://schemas.openxmlformats.org/drawingml/2006/picture">
                <pic:pic>
                  <pic:nvPicPr>
                    <pic:cNvPr id="0" name="image85.png"/>
                    <pic:cNvPicPr preferRelativeResize="0"/>
                  </pic:nvPicPr>
                  <pic:blipFill>
                    <a:blip r:embed="rId82"/>
                    <a:srcRect b="0" l="0" r="0" t="0"/>
                    <a:stretch>
                      <a:fillRect/>
                    </a:stretch>
                  </pic:blipFill>
                  <pic:spPr>
                    <a:xfrm>
                      <a:off x="0" y="0"/>
                      <a:ext cx="546720" cy="220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state representations and demonstrated actions using contrastive or non-parametric estimators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Trajectories showing low predictability (indicating erratic teleoperation) or high redundancy are pruned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Suboptimal demonstrations containing minor recovery maneuvers are preserved using Ambient Diffusion Policy principles: routing them exclusively into high-noise diffusion training bands (to learn coarse recovery paths) while masking them out of low-noise contact bands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Scoring Formulation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integrated composite Trajectory Quality Score </w:t>
      </w:r>
      <w:r w:rsidDel="00000000" w:rsidR="00000000" w:rsidRPr="00000000">
        <w:rPr>
          <w:rFonts w:ascii="Google Sans" w:cs="Google Sans" w:eastAsia="Google Sans" w:hAnsi="Google Sans"/>
          <w:color w:val="1f1f1f"/>
        </w:rPr>
        <w:drawing>
          <wp:inline distB="19050" distT="19050" distL="19050" distR="19050">
            <wp:extent cx="1013965" cy="248708"/>
            <wp:effectExtent b="0" l="0" r="0" t="0"/>
            <wp:docPr id="57"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1013965" cy="248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as a product of deterministic gating functions and weighted continuous semantic metrics: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58"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122"/>
            <wp:effectExtent b="0" l="0" r="0" t="0"/>
            <wp:docPr id="59" name="image50.png"/>
            <a:graphic>
              <a:graphicData uri="http://schemas.openxmlformats.org/drawingml/2006/picture">
                <pic:pic>
                  <pic:nvPicPr>
                    <pic:cNvPr id="0" name="image50.png"/>
                    <pic:cNvPicPr preferRelativeResize="0"/>
                  </pic:nvPicPr>
                  <pic:blipFill>
                    <a:blip r:embed="rId85"/>
                    <a:srcRect b="0" l="0" r="0" t="0"/>
                    <a:stretch>
                      <a:fillRect/>
                    </a:stretch>
                  </pic:blipFill>
                  <pic:spPr>
                    <a:xfrm>
                      <a:off x="0" y="0"/>
                      <a:ext cx="5905500" cy="72312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the individual dimensional metrics are defined as:</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790655" cy="247631"/>
            <wp:effectExtent b="0" l="0" r="0" t="0"/>
            <wp:docPr id="60" name="image51.png"/>
            <a:graphic>
              <a:graphicData uri="http://schemas.openxmlformats.org/drawingml/2006/picture">
                <pic:pic>
                  <pic:nvPicPr>
                    <pic:cNvPr id="0" name="image51.png"/>
                    <pic:cNvPicPr preferRelativeResize="0"/>
                  </pic:nvPicPr>
                  <pic:blipFill>
                    <a:blip r:embed="rId86"/>
                    <a:srcRect b="0" l="0" r="0" t="0"/>
                    <a:stretch>
                      <a:fillRect/>
                    </a:stretch>
                  </pic:blipFill>
                  <pic:spPr>
                    <a:xfrm>
                      <a:off x="0" y="0"/>
                      <a:ext cx="3790655" cy="24763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075034" cy="257084"/>
            <wp:effectExtent b="0" l="0" r="0" t="0"/>
            <wp:docPr id="61" name="image54.png"/>
            <a:graphic>
              <a:graphicData uri="http://schemas.openxmlformats.org/drawingml/2006/picture">
                <pic:pic>
                  <pic:nvPicPr>
                    <pic:cNvPr id="0" name="image54.png"/>
                    <pic:cNvPicPr preferRelativeResize="0"/>
                  </pic:nvPicPr>
                  <pic:blipFill>
                    <a:blip r:embed="rId87"/>
                    <a:srcRect b="0" l="0" r="0" t="0"/>
                    <a:stretch>
                      <a:fillRect/>
                    </a:stretch>
                  </pic:blipFill>
                  <pic:spPr>
                    <a:xfrm>
                      <a:off x="0" y="0"/>
                      <a:ext cx="5075034" cy="25708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690986" cy="247898"/>
            <wp:effectExtent b="0" l="0" r="0" t="0"/>
            <wp:docPr id="62" name="image52.png"/>
            <a:graphic>
              <a:graphicData uri="http://schemas.openxmlformats.org/drawingml/2006/picture">
                <pic:pic>
                  <pic:nvPicPr>
                    <pic:cNvPr id="0" name="image52.png"/>
                    <pic:cNvPicPr preferRelativeResize="0"/>
                  </pic:nvPicPr>
                  <pic:blipFill>
                    <a:blip r:embed="rId88"/>
                    <a:srcRect b="0" l="0" r="0" t="0"/>
                    <a:stretch>
                      <a:fillRect/>
                    </a:stretch>
                  </pic:blipFill>
                  <pic:spPr>
                    <a:xfrm>
                      <a:off x="0" y="0"/>
                      <a:ext cx="4690986" cy="24789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063134" cy="351779"/>
            <wp:effectExtent b="0" l="0" r="0" t="0"/>
            <wp:docPr id="63" name="image79.png"/>
            <a:graphic>
              <a:graphicData uri="http://schemas.openxmlformats.org/drawingml/2006/picture">
                <pic:pic>
                  <pic:nvPicPr>
                    <pic:cNvPr id="0" name="image79.png"/>
                    <pic:cNvPicPr preferRelativeResize="0"/>
                  </pic:nvPicPr>
                  <pic:blipFill>
                    <a:blip r:embed="rId89"/>
                    <a:srcRect b="0" l="0" r="0" t="0"/>
                    <a:stretch>
                      <a:fillRect/>
                    </a:stretch>
                  </pic:blipFill>
                  <pic:spPr>
                    <a:xfrm>
                      <a:off x="0" y="0"/>
                      <a:ext cx="2063134" cy="35177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Ingestion Actions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Depending on the composite score </w:t>
      </w:r>
      <w:r w:rsidDel="00000000" w:rsidR="00000000" w:rsidRPr="00000000">
        <w:rPr>
          <w:rFonts w:ascii="Google Sans" w:cs="Google Sans" w:eastAsia="Google Sans" w:hAnsi="Google Sans"/>
          <w:color w:val="1f1f1f"/>
        </w:rPr>
        <w:drawing>
          <wp:inline distB="19050" distT="19050" distL="19050" distR="19050">
            <wp:extent cx="382414" cy="248569"/>
            <wp:effectExtent b="0" l="0" r="0" t="0"/>
            <wp:docPr id="53" name="image45.png"/>
            <a:graphic>
              <a:graphicData uri="http://schemas.openxmlformats.org/drawingml/2006/picture">
                <pic:pic>
                  <pic:nvPicPr>
                    <pic:cNvPr id="0" name="image45.png"/>
                    <pic:cNvPicPr preferRelativeResize="0"/>
                  </pic:nvPicPr>
                  <pic:blipFill>
                    <a:blip r:embed="rId90"/>
                    <a:srcRect b="0" l="0" r="0" t="0"/>
                    <a:stretch>
                      <a:fillRect/>
                    </a:stretch>
                  </pic:blipFill>
                  <pic:spPr>
                    <a:xfrm>
                      <a:off x="0" y="0"/>
                      <a:ext cx="382414" cy="248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Auto-QC engine routes trajectories into three remediation pathways:</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 Rejection (</w:t>
      </w:r>
      <w:r w:rsidDel="00000000" w:rsidR="00000000" w:rsidRPr="00000000">
        <w:rPr>
          <w:rFonts w:ascii="Google Sans" w:cs="Google Sans" w:eastAsia="Google Sans" w:hAnsi="Google Sans"/>
          <w:b w:val="1"/>
          <w:bCs w:val="1"/>
          <w:color w:val="1f1f1f"/>
        </w:rPr>
        <w:drawing>
          <wp:inline distB="19050" distT="19050" distL="19050" distR="19050">
            <wp:extent cx="992086" cy="248021"/>
            <wp:effectExtent b="0" l="0" r="0" t="0"/>
            <wp:docPr id="54" name="image56.png"/>
            <a:graphic>
              <a:graphicData uri="http://schemas.openxmlformats.org/drawingml/2006/picture">
                <pic:pic>
                  <pic:nvPicPr>
                    <pic:cNvPr id="0" name="image56.png"/>
                    <pic:cNvPicPr preferRelativeResize="0"/>
                  </pic:nvPicPr>
                  <pic:blipFill>
                    <a:blip r:embed="rId91"/>
                    <a:srcRect b="0" l="0" r="0" t="0"/>
                    <a:stretch>
                      <a:fillRect/>
                    </a:stretch>
                  </pic:blipFill>
                  <pic:spPr>
                    <a:xfrm>
                      <a:off x="0" y="0"/>
                      <a:ext cx="992086" cy="2480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or </w:t>
      </w:r>
      <w:r w:rsidDel="00000000" w:rsidR="00000000" w:rsidRPr="00000000">
        <w:rPr>
          <w:rFonts w:ascii="Google Sans" w:cs="Google Sans" w:eastAsia="Google Sans" w:hAnsi="Google Sans"/>
          <w:b w:val="1"/>
          <w:bCs w:val="1"/>
          <w:color w:val="1f1f1f"/>
        </w:rPr>
        <w:drawing>
          <wp:inline distB="19050" distT="19050" distL="19050" distR="19050">
            <wp:extent cx="761851" cy="238079"/>
            <wp:effectExtent b="0" l="0" r="0" t="0"/>
            <wp:docPr id="55" name="image76.png"/>
            <a:graphic>
              <a:graphicData uri="http://schemas.openxmlformats.org/drawingml/2006/picture">
                <pic:pic>
                  <pic:nvPicPr>
                    <pic:cNvPr id="0" name="image76.png"/>
                    <pic:cNvPicPr preferRelativeResize="0"/>
                  </pic:nvPicPr>
                  <pic:blipFill>
                    <a:blip r:embed="rId92"/>
                    <a:srcRect b="0" l="0" r="0" t="0"/>
                    <a:stretch>
                      <a:fillRect/>
                    </a:stretch>
                  </pic:blipFill>
                  <pic:spPr>
                    <a:xfrm>
                      <a:off x="0" y="0"/>
                      <a:ext cx="761851" cy="23807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Trajectories containing fatal sensor drops, PII violations, collisions, or structural procedural failures are permanently pruned from storage buffers.</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Trim-and-Stitch (</w:t>
      </w:r>
      <w:r w:rsidDel="00000000" w:rsidR="00000000" w:rsidRPr="00000000">
        <w:rPr>
          <w:rFonts w:ascii="Google Sans" w:cs="Google Sans" w:eastAsia="Google Sans" w:hAnsi="Google Sans"/>
          <w:b w:val="1"/>
          <w:bCs w:val="1"/>
          <w:color w:val="1f1f1f"/>
        </w:rPr>
        <w:drawing>
          <wp:inline distB="19050" distT="19050" distL="19050" distR="19050">
            <wp:extent cx="1601762" cy="247892"/>
            <wp:effectExtent b="0" l="0" r="0" t="0"/>
            <wp:docPr id="56" name="image47.png"/>
            <a:graphic>
              <a:graphicData uri="http://schemas.openxmlformats.org/drawingml/2006/picture">
                <pic:pic>
                  <pic:nvPicPr>
                    <pic:cNvPr id="0" name="image47.png"/>
                    <pic:cNvPicPr preferRelativeResize="0"/>
                  </pic:nvPicPr>
                  <pic:blipFill>
                    <a:blip r:embed="rId93"/>
                    <a:srcRect b="0" l="0" r="0" t="0"/>
                    <a:stretch>
                      <a:fillRect/>
                    </a:stretch>
                  </pic:blipFill>
                  <pic:spPr>
                    <a:xfrm>
                      <a:off x="0" y="0"/>
                      <a:ext cx="1601762" cy="24789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with localized temporal faults)</w:t>
      </w:r>
      <w:r w:rsidDel="00000000" w:rsidR="00000000" w:rsidRPr="00000000">
        <w:rPr>
          <w:rFonts w:ascii="Google Sans" w:cs="Google Sans" w:eastAsia="Google Sans" w:hAnsi="Google Sans"/>
          <w:color w:val="1f1f1f"/>
          <w:rtl w:val="0"/>
        </w:rPr>
        <w:t xml:space="preserve">: When procedural or execution errors are temporally isolated—such as an operator hesitation, an embodiment adjustment, or a brief visual occlusion between distinct sub-tasks—the Auto-QC system excises the corrupted interval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remaining segments are rejoined using Hermite spline interpolation in proprioception space, provided the pre- and post-cut states satisfy spatial and kinematic continuity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Golden Dataset Inclusion (</w:t>
      </w:r>
      <w:r w:rsidDel="00000000" w:rsidR="00000000" w:rsidRPr="00000000">
        <w:rPr>
          <w:rFonts w:ascii="Google Sans" w:cs="Google Sans" w:eastAsia="Google Sans" w:hAnsi="Google Sans"/>
          <w:b w:val="1"/>
          <w:bCs w:val="1"/>
          <w:color w:val="1f1f1f"/>
        </w:rPr>
        <w:drawing>
          <wp:inline distB="19050" distT="19050" distL="19050" distR="19050">
            <wp:extent cx="992086" cy="248021"/>
            <wp:effectExtent b="0" l="0" r="0" t="0"/>
            <wp:docPr id="98" name="image98.png"/>
            <a:graphic>
              <a:graphicData uri="http://schemas.openxmlformats.org/drawingml/2006/picture">
                <pic:pic>
                  <pic:nvPicPr>
                    <pic:cNvPr id="0" name="image98.png"/>
                    <pic:cNvPicPr preferRelativeResize="0"/>
                  </pic:nvPicPr>
                  <pic:blipFill>
                    <a:blip r:embed="rId94"/>
                    <a:srcRect b="0" l="0" r="0" t="0"/>
                    <a:stretch>
                      <a:fillRect/>
                    </a:stretch>
                  </pic:blipFill>
                  <pic:spPr>
                    <a:xfrm>
                      <a:off x="0" y="0"/>
                      <a:ext cx="992086" cy="2480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Clean, high-scoring demonstrations are ingested directly into primary Supervised Fine-Tuning (SFT) mixtures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Subsystem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Error Modes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Algorithmic Technique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Thresholds &amp; Configuration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Latency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Curation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 Temporal Filter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Timestamp desync, frame jitter, tracking dropouts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Sliding-window clock verification; packet-loss monitor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968179" cy="218687"/>
                  <wp:effectExtent b="0" l="0" r="0" t="0"/>
                  <wp:docPr id="100" name="image87.png"/>
                  <a:graphic>
                    <a:graphicData uri="http://schemas.openxmlformats.org/drawingml/2006/picture">
                      <pic:pic>
                        <pic:nvPicPr>
                          <pic:cNvPr id="0" name="image87.png"/>
                          <pic:cNvPicPr preferRelativeResize="0"/>
                        </pic:nvPicPr>
                        <pic:blipFill>
                          <a:blip r:embed="rId95"/>
                          <a:srcRect b="0" l="0" r="0" t="0"/>
                          <a:stretch>
                            <a:fillRect/>
                          </a:stretch>
                        </pic:blipFill>
                        <pic:spPr>
                          <a:xfrm>
                            <a:off x="0" y="0"/>
                            <a:ext cx="1968179" cy="218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packet loss </w:t>
            </w:r>
            <w:r w:rsidDel="00000000" w:rsidR="00000000" w:rsidRPr="00000000">
              <w:rPr>
                <w:rFonts w:ascii="Google Sans" w:cs="Google Sans" w:eastAsia="Google Sans" w:hAnsi="Google Sans"/>
                <w:color w:val="1f1f1f"/>
              </w:rPr>
              <w:drawing>
                <wp:inline distB="19050" distT="19050" distL="19050" distR="19050">
                  <wp:extent cx="547539" cy="211331"/>
                  <wp:effectExtent b="0" l="0" r="0" t="0"/>
                  <wp:docPr id="102" name="image89.png"/>
                  <a:graphic>
                    <a:graphicData uri="http://schemas.openxmlformats.org/drawingml/2006/picture">
                      <pic:pic>
                        <pic:nvPicPr>
                          <pic:cNvPr id="0" name="image89.png"/>
                          <pic:cNvPicPr preferRelativeResize="0"/>
                        </pic:nvPicPr>
                        <pic:blipFill>
                          <a:blip r:embed="rId96"/>
                          <a:srcRect b="0" l="0" r="0" t="0"/>
                          <a:stretch>
                            <a:fillRect/>
                          </a:stretch>
                        </pic:blipFill>
                        <pic:spPr>
                          <a:xfrm>
                            <a:off x="0" y="0"/>
                            <a:ext cx="547539" cy="21133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9960" cy="207761"/>
                  <wp:effectExtent b="0" l="0" r="0" t="0"/>
                  <wp:docPr id="104" name="image90.png"/>
                  <a:graphic>
                    <a:graphicData uri="http://schemas.openxmlformats.org/drawingml/2006/picture">
                      <pic:pic>
                        <pic:nvPicPr>
                          <pic:cNvPr id="0" name="image90.png"/>
                          <pic:cNvPicPr preferRelativeResize="0"/>
                        </pic:nvPicPr>
                        <pic:blipFill>
                          <a:blip r:embed="rId97"/>
                          <a:srcRect b="0" l="0" r="0" t="0"/>
                          <a:stretch>
                            <a:fillRect/>
                          </a:stretch>
                        </pic:blipFill>
                        <pic:spPr>
                          <a:xfrm>
                            <a:off x="0" y="0"/>
                            <a:ext cx="509960" cy="207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trajectory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 PII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Hands out of FoV, blur, face/badge capture</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Laplacian variance; MediaPipe / YOLOv8-Pose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11237" cy="219358"/>
                  <wp:effectExtent b="0" l="0" r="0" t="0"/>
                  <wp:docPr id="106" name="image93.png"/>
                  <a:graphic>
                    <a:graphicData uri="http://schemas.openxmlformats.org/drawingml/2006/picture">
                      <pic:pic>
                        <pic:nvPicPr>
                          <pic:cNvPr id="0" name="image93.png"/>
                          <pic:cNvPicPr preferRelativeResize="0"/>
                        </pic:nvPicPr>
                        <pic:blipFill>
                          <a:blip r:embed="rId98"/>
                          <a:srcRect b="0" l="0" r="0" t="0"/>
                          <a:stretch>
                            <a:fillRect/>
                          </a:stretch>
                        </pic:blipFill>
                        <pic:spPr>
                          <a:xfrm>
                            <a:off x="0" y="0"/>
                            <a:ext cx="1211237" cy="219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Hand-in-frame ratio </w:t>
            </w:r>
            <w:r w:rsidDel="00000000" w:rsidR="00000000" w:rsidRPr="00000000">
              <w:rPr>
                <w:rFonts w:ascii="Google Sans" w:cs="Google Sans" w:eastAsia="Google Sans" w:hAnsi="Google Sans"/>
                <w:color w:val="1f1f1f"/>
              </w:rPr>
              <w:drawing>
                <wp:inline distB="19050" distT="19050" distL="19050" distR="19050">
                  <wp:extent cx="499467" cy="211313"/>
                  <wp:effectExtent b="0" l="0" r="0" t="0"/>
                  <wp:docPr id="109" name="image92.png"/>
                  <a:graphic>
                    <a:graphicData uri="http://schemas.openxmlformats.org/drawingml/2006/picture">
                      <pic:pic>
                        <pic:nvPicPr>
                          <pic:cNvPr id="0" name="image92.png"/>
                          <pic:cNvPicPr preferRelativeResize="0"/>
                        </pic:nvPicPr>
                        <pic:blipFill>
                          <a:blip r:embed="rId99"/>
                          <a:srcRect b="0" l="0" r="0" t="0"/>
                          <a:stretch>
                            <a:fillRect/>
                          </a:stretch>
                        </pic:blipFill>
                        <pic:spPr>
                          <a:xfrm>
                            <a:off x="0" y="0"/>
                            <a:ext cx="499467" cy="2113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891" cy="211758"/>
                  <wp:effectExtent b="0" l="0" r="0" t="0"/>
                  <wp:docPr id="18"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413891" cy="211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Rejection / Blurring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Kinematic Wrench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Collisions, joint limits, severe slips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Derivative profiling; 6-axis F/T wrench residuals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36971" cy="219751"/>
                  <wp:effectExtent b="0" l="0" r="0" t="0"/>
                  <wp:docPr id="17" name="image59.png"/>
                  <a:graphic>
                    <a:graphicData uri="http://schemas.openxmlformats.org/drawingml/2006/picture">
                      <pic:pic>
                        <pic:nvPicPr>
                          <pic:cNvPr id="0" name="image59.png"/>
                          <pic:cNvPicPr preferRelativeResize="0"/>
                        </pic:nvPicPr>
                        <pic:blipFill>
                          <a:blip r:embed="rId101"/>
                          <a:srcRect b="0" l="0" r="0" t="0"/>
                          <a:stretch>
                            <a:fillRect/>
                          </a:stretch>
                        </pic:blipFill>
                        <pic:spPr>
                          <a:xfrm>
                            <a:off x="0" y="0"/>
                            <a:ext cx="1136971" cy="219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wrench deviation </w:t>
            </w:r>
            <w:r w:rsidDel="00000000" w:rsidR="00000000" w:rsidRPr="00000000">
              <w:rPr>
                <w:rFonts w:ascii="Google Sans" w:cs="Google Sans" w:eastAsia="Google Sans" w:hAnsi="Google Sans"/>
                <w:color w:val="1f1f1f"/>
              </w:rPr>
              <w:drawing>
                <wp:inline distB="19050" distT="19050" distL="19050" distR="19050">
                  <wp:extent cx="513978" cy="209398"/>
                  <wp:effectExtent b="0" l="0" r="0" t="0"/>
                  <wp:docPr id="21" name="image29.png"/>
                  <a:graphic>
                    <a:graphicData uri="http://schemas.openxmlformats.org/drawingml/2006/picture">
                      <pic:pic>
                        <pic:nvPicPr>
                          <pic:cNvPr id="0" name="image29.png"/>
                          <pic:cNvPicPr preferRelativeResize="0"/>
                        </pic:nvPicPr>
                        <pic:blipFill>
                          <a:blip r:embed="rId102"/>
                          <a:srcRect b="0" l="0" r="0" t="0"/>
                          <a:stretch>
                            <a:fillRect/>
                          </a:stretch>
                        </pic:blipFill>
                        <pic:spPr>
                          <a:xfrm>
                            <a:off x="0" y="0"/>
                            <a:ext cx="513978" cy="20939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6429" cy="208277"/>
                  <wp:effectExtent b="0" l="0" r="0" t="0"/>
                  <wp:docPr id="19" name="image11.png"/>
                  <a:graphic>
                    <a:graphicData uri="http://schemas.openxmlformats.org/drawingml/2006/picture">
                      <pic:pic>
                        <pic:nvPicPr>
                          <pic:cNvPr id="0" name="image11.png"/>
                          <pic:cNvPicPr preferRelativeResize="0"/>
                        </pic:nvPicPr>
                        <pic:blipFill>
                          <a:blip r:embed="rId103"/>
                          <a:srcRect b="0" l="0" r="0" t="0"/>
                          <a:stretch>
                            <a:fillRect/>
                          </a:stretch>
                        </pic:blipFill>
                        <pic:spPr>
                          <a:xfrm>
                            <a:off x="0" y="0"/>
                            <a:ext cx="596429" cy="208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trajectory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Affordance Evaluator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Handle bypass, hazard contact, content intrusion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ContactPose mesh intersection; SAGP affordance zones</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Mesh penetration </w:t>
            </w:r>
            <w:r w:rsidDel="00000000" w:rsidR="00000000" w:rsidRPr="00000000">
              <w:rPr>
                <w:rFonts w:ascii="Google Sans" w:cs="Google Sans" w:eastAsia="Google Sans" w:hAnsi="Google Sans"/>
                <w:color w:val="1f1f1f"/>
              </w:rPr>
              <w:drawing>
                <wp:inline distB="19050" distT="19050" distL="19050" distR="19050">
                  <wp:extent cx="585862" cy="207886"/>
                  <wp:effectExtent b="0" l="0" r="0" t="0"/>
                  <wp:docPr id="14" name="image13.png"/>
                  <a:graphic>
                    <a:graphicData uri="http://schemas.openxmlformats.org/drawingml/2006/picture">
                      <pic:pic>
                        <pic:nvPicPr>
                          <pic:cNvPr id="0" name="image13.png"/>
                          <pic:cNvPicPr preferRelativeResize="0"/>
                        </pic:nvPicPr>
                        <pic:blipFill>
                          <a:blip r:embed="rId104"/>
                          <a:srcRect b="0" l="0" r="0" t="0"/>
                          <a:stretch>
                            <a:fillRect/>
                          </a:stretch>
                        </pic:blipFill>
                        <pic:spPr>
                          <a:xfrm>
                            <a:off x="0" y="0"/>
                            <a:ext cx="585862" cy="207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Handle alignment </w:t>
            </w:r>
            <w:r w:rsidDel="00000000" w:rsidR="00000000" w:rsidRPr="00000000">
              <w:rPr>
                <w:rFonts w:ascii="Google Sans" w:cs="Google Sans" w:eastAsia="Google Sans" w:hAnsi="Google Sans"/>
                <w:color w:val="1f1f1f"/>
              </w:rPr>
              <w:drawing>
                <wp:inline distB="19050" distT="19050" distL="19050" distR="19050">
                  <wp:extent cx="499467" cy="211313"/>
                  <wp:effectExtent b="0" l="0" r="0" t="0"/>
                  <wp:docPr id="13" name="image8.png"/>
                  <a:graphic>
                    <a:graphicData uri="http://schemas.openxmlformats.org/drawingml/2006/picture">
                      <pic:pic>
                        <pic:nvPicPr>
                          <pic:cNvPr id="0" name="image8.png"/>
                          <pic:cNvPicPr preferRelativeResize="0"/>
                        </pic:nvPicPr>
                        <pic:blipFill>
                          <a:blip r:embed="rId105"/>
                          <a:srcRect b="0" l="0" r="0" t="0"/>
                          <a:stretch>
                            <a:fillRect/>
                          </a:stretch>
                        </pic:blipFill>
                        <pic:spPr>
                          <a:xfrm>
                            <a:off x="0" y="0"/>
                            <a:ext cx="499467" cy="2113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891" cy="211758"/>
                  <wp:effectExtent b="0" l="0" r="0" t="0"/>
                  <wp:docPr id="16" name="image33.png"/>
                  <a:graphic>
                    <a:graphicData uri="http://schemas.openxmlformats.org/drawingml/2006/picture">
                      <pic:pic>
                        <pic:nvPicPr>
                          <pic:cNvPr id="0" name="image33.png"/>
                          <pic:cNvPicPr preferRelativeResize="0"/>
                        </pic:nvPicPr>
                        <pic:blipFill>
                          <a:blip r:embed="rId106"/>
                          <a:srcRect b="0" l="0" r="0" t="0"/>
                          <a:stretch>
                            <a:fillRect/>
                          </a:stretch>
                        </pic:blipFill>
                        <pic:spPr>
                          <a:xfrm>
                            <a:off x="0" y="0"/>
                            <a:ext cx="413891" cy="211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keyframe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Rejection / Down-weight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Segmentation Backbone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Action boundary identification</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ActionFormer multi-scale temporal transformer</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IoU threshold </w:t>
            </w:r>
            <w:r w:rsidDel="00000000" w:rsidR="00000000" w:rsidRPr="00000000">
              <w:rPr>
                <w:rFonts w:ascii="Google Sans" w:cs="Google Sans" w:eastAsia="Google Sans" w:hAnsi="Google Sans"/>
                <w:color w:val="1f1f1f"/>
              </w:rPr>
              <w:drawing>
                <wp:inline distB="19050" distT="19050" distL="19050" distR="19050">
                  <wp:extent cx="489942" cy="211348"/>
                  <wp:effectExtent b="0" l="0" r="0" t="0"/>
                  <wp:docPr id="15" name="image9.png"/>
                  <a:graphic>
                    <a:graphicData uri="http://schemas.openxmlformats.org/drawingml/2006/picture">
                      <pic:pic>
                        <pic:nvPicPr>
                          <pic:cNvPr id="0" name="image9.png"/>
                          <pic:cNvPicPr preferRelativeResize="0"/>
                        </pic:nvPicPr>
                        <pic:blipFill>
                          <a:blip r:embed="rId107"/>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0285" cy="207666"/>
                  <wp:effectExtent b="0" l="0" r="0" t="0"/>
                  <wp:docPr id="12" name="image7.png"/>
                  <a:graphic>
                    <a:graphicData uri="http://schemas.openxmlformats.org/drawingml/2006/picture">
                      <pic:pic>
                        <pic:nvPicPr>
                          <pic:cNvPr id="0" name="image7.png"/>
                          <pic:cNvPicPr preferRelativeResize="0"/>
                        </pic:nvPicPr>
                        <pic:blipFill>
                          <a:blip r:embed="rId108"/>
                          <a:srcRect b="0" l="0" r="0" t="0"/>
                          <a:stretch>
                            <a:fillRect/>
                          </a:stretch>
                        </pic:blipFill>
                        <pic:spPr>
                          <a:xfrm>
                            <a:off x="0" y="0"/>
                            <a:ext cx="500285" cy="2076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minute of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 feature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Graph Verifier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Step omission, misordering, redundant addition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GTG2Vid DP alignment; AMNAR PAPB block</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12863" cy="218768"/>
                  <wp:effectExtent b="0" l="0" r="0" t="0"/>
                  <wp:docPr id="11" name="image39.png"/>
                  <a:graphic>
                    <a:graphicData uri="http://schemas.openxmlformats.org/drawingml/2006/picture">
                      <pic:pic>
                        <pic:nvPicPr>
                          <pic:cNvPr id="0" name="image39.png"/>
                          <pic:cNvPicPr preferRelativeResize="0"/>
                        </pic:nvPicPr>
                        <pic:blipFill>
                          <a:blip r:embed="rId109"/>
                          <a:srcRect b="0" l="0" r="0" t="0"/>
                          <a:stretch>
                            <a:fillRect/>
                          </a:stretch>
                        </pic:blipFill>
                        <pic:spPr>
                          <a:xfrm>
                            <a:off x="0" y="0"/>
                            <a:ext cx="1112863" cy="2187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63612" cy="219369"/>
                  <wp:effectExtent b="0" l="0" r="0" t="0"/>
                  <wp:docPr id="84" name="image73.png"/>
                  <a:graphic>
                    <a:graphicData uri="http://schemas.openxmlformats.org/drawingml/2006/picture">
                      <pic:pic>
                        <pic:nvPicPr>
                          <pic:cNvPr id="0" name="image73.png"/>
                          <pic:cNvPicPr preferRelativeResize="0"/>
                        </pic:nvPicPr>
                        <pic:blipFill>
                          <a:blip r:embed="rId110"/>
                          <a:srcRect b="0" l="0" r="0" t="0"/>
                          <a:stretch>
                            <a:fillRect/>
                          </a:stretch>
                        </pic:blipFill>
                        <pic:spPr>
                          <a:xfrm>
                            <a:off x="0" y="0"/>
                            <a:ext cx="1163612" cy="219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82154" cy="217910"/>
                  <wp:effectExtent b="0" l="0" r="0" t="0"/>
                  <wp:docPr id="78" name="image97.png"/>
                  <a:graphic>
                    <a:graphicData uri="http://schemas.openxmlformats.org/drawingml/2006/picture">
                      <pic:pic>
                        <pic:nvPicPr>
                          <pic:cNvPr id="0" name="image97.png"/>
                          <pic:cNvPicPr preferRelativeResize="0"/>
                        </pic:nvPicPr>
                        <pic:blipFill>
                          <a:blip r:embed="rId111"/>
                          <a:srcRect b="0" l="0" r="0" t="0"/>
                          <a:stretch>
                            <a:fillRect/>
                          </a:stretch>
                        </pic:blipFill>
                        <pic:spPr>
                          <a:xfrm>
                            <a:off x="0" y="0"/>
                            <a:ext cx="682154" cy="21791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891" cy="211758"/>
                  <wp:effectExtent b="0" l="0" r="0" t="0"/>
                  <wp:docPr id="77" name="image62.png"/>
                  <a:graphic>
                    <a:graphicData uri="http://schemas.openxmlformats.org/drawingml/2006/picture">
                      <pic:pic>
                        <pic:nvPicPr>
                          <pic:cNvPr id="0" name="image62.png"/>
                          <pic:cNvPicPr preferRelativeResize="0"/>
                        </pic:nvPicPr>
                        <pic:blipFill>
                          <a:blip r:embed="rId112"/>
                          <a:srcRect b="0" l="0" r="0" t="0"/>
                          <a:stretch>
                            <a:fillRect/>
                          </a:stretch>
                        </pic:blipFill>
                        <pic:spPr>
                          <a:xfrm>
                            <a:off x="0" y="0"/>
                            <a:ext cx="413891" cy="211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trajectory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Surgical Trim /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Effect Verifier (AEM)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Latent step omission, unverified outcome</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Grounding DINO + GPT-4o symbolic scene graphs</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 frame confidence </w:t>
            </w:r>
            <w:r w:rsidDel="00000000" w:rsidR="00000000" w:rsidRPr="00000000">
              <w:rPr>
                <w:rFonts w:ascii="Google Sans" w:cs="Google Sans" w:eastAsia="Google Sans" w:hAnsi="Google Sans"/>
                <w:color w:val="1f1f1f"/>
              </w:rPr>
              <w:drawing>
                <wp:inline distB="19050" distT="19050" distL="19050" distR="19050">
                  <wp:extent cx="489942" cy="211348"/>
                  <wp:effectExtent b="0" l="0" r="0" t="0"/>
                  <wp:docPr id="80" name="image65.png"/>
                  <a:graphic>
                    <a:graphicData uri="http://schemas.openxmlformats.org/drawingml/2006/picture">
                      <pic:pic>
                        <pic:nvPicPr>
                          <pic:cNvPr id="0" name="image65.png"/>
                          <pic:cNvPicPr preferRelativeResize="0"/>
                        </pic:nvPicPr>
                        <pic:blipFill>
                          <a:blip r:embed="rId113"/>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graph edge recall </w:t>
            </w:r>
            <w:r w:rsidDel="00000000" w:rsidR="00000000" w:rsidRPr="00000000">
              <w:rPr>
                <w:rFonts w:ascii="Google Sans" w:cs="Google Sans" w:eastAsia="Google Sans" w:hAnsi="Google Sans"/>
                <w:color w:val="1f1f1f"/>
              </w:rPr>
              <w:drawing>
                <wp:inline distB="19050" distT="19050" distL="19050" distR="19050">
                  <wp:extent cx="499467" cy="211313"/>
                  <wp:effectExtent b="0" l="0" r="0" t="0"/>
                  <wp:docPr id="79" name="image8.png"/>
                  <a:graphic>
                    <a:graphicData uri="http://schemas.openxmlformats.org/drawingml/2006/picture">
                      <pic:pic>
                        <pic:nvPicPr>
                          <pic:cNvPr id="0" name="image8.png"/>
                          <pic:cNvPicPr preferRelativeResize="0"/>
                        </pic:nvPicPr>
                        <pic:blipFill>
                          <a:blip r:embed="rId105"/>
                          <a:srcRect b="0" l="0" r="0" t="0"/>
                          <a:stretch>
                            <a:fillRect/>
                          </a:stretch>
                        </pic:blipFill>
                        <pic:spPr>
                          <a:xfrm>
                            <a:off x="0" y="0"/>
                            <a:ext cx="499467" cy="21131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0285" cy="207666"/>
                  <wp:effectExtent b="0" l="0" r="0" t="0"/>
                  <wp:docPr id="76" name="image61.png"/>
                  <a:graphic>
                    <a:graphicData uri="http://schemas.openxmlformats.org/drawingml/2006/picture">
                      <pic:pic>
                        <pic:nvPicPr>
                          <pic:cNvPr id="0" name="image61.png"/>
                          <pic:cNvPicPr preferRelativeResize="0"/>
                        </pic:nvPicPr>
                        <pic:blipFill>
                          <a:blip r:embed="rId114"/>
                          <a:srcRect b="0" l="0" r="0" t="0"/>
                          <a:stretch>
                            <a:fillRect/>
                          </a:stretch>
                        </pic:blipFill>
                        <pic:spPr>
                          <a:xfrm>
                            <a:off x="0" y="0"/>
                            <a:ext cx="500285" cy="2076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keystep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Information Curation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Redundant demos, erratic non-smooth trials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DemInf mutual information estimator; Ambient split</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6720" cy="220606"/>
                  <wp:effectExtent b="0" l="0" r="0" t="0"/>
                  <wp:docPr id="75" name="image85.png"/>
                  <a:graphic>
                    <a:graphicData uri="http://schemas.openxmlformats.org/drawingml/2006/picture">
                      <pic:pic>
                        <pic:nvPicPr>
                          <pic:cNvPr id="0" name="image85.png"/>
                          <pic:cNvPicPr preferRelativeResize="0"/>
                        </pic:nvPicPr>
                        <pic:blipFill>
                          <a:blip r:embed="rId82"/>
                          <a:srcRect b="0" l="0" r="0" t="0"/>
                          <a:stretch>
                            <a:fillRect/>
                          </a:stretch>
                        </pic:blipFill>
                        <pic:spPr>
                          <a:xfrm>
                            <a:off x="0" y="0"/>
                            <a:ext cx="546720" cy="220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bottom 15th percentile filtered or split to high noise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offline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reweighting &amp; Ambient partition</w:t>
            </w:r>
          </w:p>
        </w:tc>
      </w:tr>
    </w:tbl>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Outlook and Engineering Synthesis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 in physical artificial intelligence is not an abstract scalar property, but a multi-dimensional constraint manifold defined by kinematic feasibility, spatial affordances, semantic correctness, and causal integrity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Naively expanding collection volume introduces human teleoperation artifacts, sensor desynchronization, affordance violations, and procedural inconsistencies into demonstration mixtures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expressive foundation architectures—such as Diffusion Policies and Flow Matching VLAs—accurately capture multi-modal distributions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uncurated datasets induce severe compounding execution drift, causal confusion, and infinite execution loops during autonomous deployment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procedure dimension represents the most significant failure mode in long-horizon robotic manipulation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execution errors produce immediate physical anomalies (such as drops and slips), procedural errors (omissions, additions, misorderings, wrong tools, and incomplete tasks) often exhibit smooth kinematic profiles while violating underlying task logic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this challenge requires neuro-symbolic verification pipelines that combine temporal action segmentation models, dynamic programming task-graph alignment, and outcome-centric Action Effect Modeling to verify topological constraints across extensive video streams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physical AI from controlled laboratory demonstrations to robust commercial deployment across manufacturing, logistics, and healthcare requires embedding automated quality control directly into the data collection pipeline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deterministic kinematic filters, spatial contact affordance analysis, neuro-symbolic procedural verification, and information-theoretic dataset pruning, robotic learning systems can eliminate corrupted demonstrations before training begins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shift from raw teleoperation dumps to verified policy training distributions establishes the rigorous data foundations necessary for reliable autonomous physical intelligence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π 0 : Our First Generalist Policy - Physical Intelligence, </w:t>
      </w:r>
      <w:hyperlink r:id="rId115">
        <w:r w:rsidDel="00000000" w:rsidR="00000000" w:rsidRPr="00000000">
          <w:rPr>
            <w:rFonts w:ascii="Google Sans" w:cs="Google Sans" w:eastAsia="Google Sans" w:hAnsi="Google Sans"/>
            <w:color w:val="0000ee"/>
            <w:sz w:val="24"/>
            <w:szCs w:val="24"/>
            <w:u w:val="single"/>
            <w:rtl w:val="0"/>
          </w:rPr>
          <w:t xml:space="preserve">https://www.pi.website/blog/pi0</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𝜋_0: A Vision-Language-Action Flow Model for General Robot, </w:t>
      </w:r>
      <w:hyperlink r:id="rId116">
        <w:r w:rsidDel="00000000" w:rsidR="00000000" w:rsidRPr="00000000">
          <w:rPr>
            <w:rFonts w:ascii="Google Sans" w:cs="Google Sans" w:eastAsia="Google Sans" w:hAnsi="Google Sans"/>
            <w:color w:val="0000ee"/>
            <w:sz w:val="24"/>
            <w:szCs w:val="24"/>
            <w:u w:val="single"/>
            <w:rtl w:val="0"/>
          </w:rPr>
          <w:t xml:space="preserve">https://arxiv.org/html/2410.24164v1</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Quality in Imitation Learning, </w:t>
      </w:r>
      <w:hyperlink r:id="rId117">
        <w:r w:rsidDel="00000000" w:rsidR="00000000" w:rsidRPr="00000000">
          <w:rPr>
            <w:rFonts w:ascii="Google Sans" w:cs="Google Sans" w:eastAsia="Google Sans" w:hAnsi="Google Sans"/>
            <w:color w:val="0000ee"/>
            <w:sz w:val="24"/>
            <w:szCs w:val="24"/>
            <w:u w:val="single"/>
            <w:rtl w:val="0"/>
          </w:rPr>
          <w:t xml:space="preserve">https://proceedings.neurips.cc/paper_files/paper/2023/hash/fe692980c5d9732cf153ce27947653a7-Abstract-Conference.html</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Robotics Foundation Models by Physical Intelligence: OpenPi, </w:t>
      </w:r>
      <w:hyperlink r:id="rId118">
        <w:r w:rsidDel="00000000" w:rsidR="00000000" w:rsidRPr="00000000">
          <w:rPr>
            <w:rFonts w:ascii="Google Sans" w:cs="Google Sans" w:eastAsia="Google Sans" w:hAnsi="Google Sans"/>
            <w:color w:val="0000ee"/>
            <w:sz w:val="24"/>
            <w:szCs w:val="24"/>
            <w:u w:val="single"/>
            <w:rtl w:val="0"/>
          </w:rPr>
          <w:t xml:space="preserve">https://medium.com/@siamak.yousefi.1984_58741/robotics-foundation-models-by-physical-intelligence-openpi-663dc55aa9d3</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ALOHA Unleashed: A Simple Recipe for Robot Dexterity - arXiv, </w:t>
      </w:r>
      <w:hyperlink r:id="rId119">
        <w:r w:rsidDel="00000000" w:rsidR="00000000" w:rsidRPr="00000000">
          <w:rPr>
            <w:rFonts w:ascii="Google Sans" w:cs="Google Sans" w:eastAsia="Google Sans" w:hAnsi="Google Sans"/>
            <w:color w:val="0000ee"/>
            <w:sz w:val="24"/>
            <w:szCs w:val="24"/>
            <w:u w:val="single"/>
            <w:rtl w:val="0"/>
          </w:rPr>
          <w:t xml:space="preserve">https://arxiv.org/html/2410.13126v1</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Tesla Optimus Price &amp; Availability (2026): Confirmed Facts vs, </w:t>
      </w:r>
      <w:hyperlink r:id="rId120">
        <w:r w:rsidDel="00000000" w:rsidR="00000000" w:rsidRPr="00000000">
          <w:rPr>
            <w:rFonts w:ascii="Google Sans" w:cs="Google Sans" w:eastAsia="Google Sans" w:hAnsi="Google Sans"/>
            <w:color w:val="0000ee"/>
            <w:sz w:val="24"/>
            <w:szCs w:val="24"/>
            <w:u w:val="single"/>
            <w:rtl w:val="0"/>
          </w:rPr>
          <w:t xml:space="preserve">https://www.roboticscenter.ai/blog/tesla-optimus-price-availability</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Tesla Optimus Actually Do? (2026 Guide), </w:t>
      </w:r>
      <w:hyperlink r:id="rId121">
        <w:r w:rsidDel="00000000" w:rsidR="00000000" w:rsidRPr="00000000">
          <w:rPr>
            <w:rFonts w:ascii="Google Sans" w:cs="Google Sans" w:eastAsia="Google Sans" w:hAnsi="Google Sans"/>
            <w:color w:val="0000ee"/>
            <w:sz w:val="24"/>
            <w:szCs w:val="24"/>
            <w:u w:val="single"/>
            <w:rtl w:val="0"/>
          </w:rPr>
          <w:t xml:space="preserve">https://optimusk.blog/blog/tesla-optimus-factory-tasks-real-world-use-cases/</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π0 Explained: Physical Intelligence Robot Policy &amp; Flow Matching, </w:t>
      </w:r>
      <w:hyperlink r:id="rId122">
        <w:r w:rsidDel="00000000" w:rsidR="00000000" w:rsidRPr="00000000">
          <w:rPr>
            <w:rFonts w:ascii="Google Sans" w:cs="Google Sans" w:eastAsia="Google Sans" w:hAnsi="Google Sans"/>
            <w:color w:val="0000ee"/>
            <w:sz w:val="24"/>
            <w:szCs w:val="24"/>
            <w:u w:val="single"/>
            <w:rtl w:val="0"/>
          </w:rPr>
          <w:t xml:space="preserve">https://robocloud-dashboard.vercel.app/learn/blog/pi0-physical-intelligence</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Embodied AI Data Collection: Teleoperation Guide (2026), </w:t>
      </w:r>
      <w:hyperlink r:id="rId123">
        <w:r w:rsidDel="00000000" w:rsidR="00000000" w:rsidRPr="00000000">
          <w:rPr>
            <w:rFonts w:ascii="Google Sans" w:cs="Google Sans" w:eastAsia="Google Sans" w:hAnsi="Google Sans"/>
            <w:color w:val="0000ee"/>
            <w:sz w:val="24"/>
            <w:szCs w:val="24"/>
            <w:u w:val="single"/>
            <w:rtl w:val="0"/>
          </w:rPr>
          <w:t xml:space="preserve">https://www.evsint.com/embodied-ai-data-collection-teleoperation-sim-to-real-2026/</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Tesla Optimus Learns: The Full Pipeline - The Robotic Life, </w:t>
      </w:r>
      <w:hyperlink r:id="rId124">
        <w:r w:rsidDel="00000000" w:rsidR="00000000" w:rsidRPr="00000000">
          <w:rPr>
            <w:rFonts w:ascii="Google Sans" w:cs="Google Sans" w:eastAsia="Google Sans" w:hAnsi="Google Sans"/>
            <w:color w:val="0000ee"/>
            <w:sz w:val="24"/>
            <w:szCs w:val="24"/>
            <w:u w:val="single"/>
            <w:rtl w:val="0"/>
          </w:rPr>
          <w:t xml:space="preserve">https://theroboticlife.com/tesla-optimus-gen-3-learning/</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Streamline Robot Learning with Whole-Body Control and Enhanced, </w:t>
      </w:r>
      <w:hyperlink r:id="rId125">
        <w:r w:rsidDel="00000000" w:rsidR="00000000" w:rsidRPr="00000000">
          <w:rPr>
            <w:rFonts w:ascii="Google Sans" w:cs="Google Sans" w:eastAsia="Google Sans" w:hAnsi="Google Sans"/>
            <w:color w:val="0000ee"/>
            <w:sz w:val="24"/>
            <w:szCs w:val="24"/>
            <w:u w:val="single"/>
            <w:rtl w:val="0"/>
          </w:rPr>
          <w:t xml:space="preserve">https://developer.nvidia.com/blog/streamline-robot-learning-with-whole-body-control-and-enhanced-teleoperation-in-nvidia-isaac-lab-2-3/</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Diffusion Policy:Imitation Learning from Suboptimal Data in, </w:t>
      </w:r>
      <w:hyperlink r:id="rId126">
        <w:r w:rsidDel="00000000" w:rsidR="00000000" w:rsidRPr="00000000">
          <w:rPr>
            <w:rFonts w:ascii="Google Sans" w:cs="Google Sans" w:eastAsia="Google Sans" w:hAnsi="Google Sans"/>
            <w:color w:val="0000ee"/>
            <w:sz w:val="24"/>
            <w:szCs w:val="24"/>
            <w:u w:val="single"/>
            <w:rtl w:val="0"/>
          </w:rPr>
          <w:t xml:space="preserve">https://arxiv.org/html/2606.12365v1</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Non-Expert Data to Robustify Imitation Learning via Offline, </w:t>
      </w:r>
      <w:hyperlink r:id="rId127">
        <w:r w:rsidDel="00000000" w:rsidR="00000000" w:rsidRPr="00000000">
          <w:rPr>
            <w:rFonts w:ascii="Google Sans" w:cs="Google Sans" w:eastAsia="Google Sans" w:hAnsi="Google Sans"/>
            <w:color w:val="0000ee"/>
            <w:sz w:val="24"/>
            <w:szCs w:val="24"/>
            <w:u w:val="single"/>
            <w:rtl w:val="0"/>
          </w:rPr>
          <w:t xml:space="preserve">https://arxiv.org/html/2510.19495v1</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Diffusion Stabilizer Policy for Automated Surgical Robot Manipulations, </w:t>
      </w:r>
      <w:hyperlink r:id="rId128">
        <w:r w:rsidDel="00000000" w:rsidR="00000000" w:rsidRPr="00000000">
          <w:rPr>
            <w:rFonts w:ascii="Google Sans" w:cs="Google Sans" w:eastAsia="Google Sans" w:hAnsi="Google Sans"/>
            <w:color w:val="0000ee"/>
            <w:sz w:val="24"/>
            <w:szCs w:val="24"/>
            <w:u w:val="single"/>
            <w:rtl w:val="0"/>
          </w:rPr>
          <w:t xml:space="preserve">https://arxiv.org/html/2503.01252v1</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Vision-Based Mistake Analysis in Procedural, </w:t>
      </w:r>
      <w:hyperlink r:id="rId129">
        <w:r w:rsidDel="00000000" w:rsidR="00000000" w:rsidRPr="00000000">
          <w:rPr>
            <w:rFonts w:ascii="Google Sans" w:cs="Google Sans" w:eastAsia="Google Sans" w:hAnsi="Google Sans"/>
            <w:color w:val="0000ee"/>
            <w:sz w:val="24"/>
            <w:szCs w:val="24"/>
            <w:u w:val="single"/>
            <w:rtl w:val="0"/>
          </w:rPr>
          <w:t xml:space="preserve">https://www.themoonlight.io/en/review/vision-based-mistake-analysis-in-procedural-activities-a-review-of-advances-and-challenges</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Scizor: A Self-Supervised Approach to Data Curation for Large, </w:t>
      </w:r>
      <w:hyperlink r:id="rId130">
        <w:r w:rsidDel="00000000" w:rsidR="00000000" w:rsidRPr="00000000">
          <w:rPr>
            <w:rFonts w:ascii="Google Sans" w:cs="Google Sans" w:eastAsia="Google Sans" w:hAnsi="Google Sans"/>
            <w:color w:val="0000ee"/>
            <w:sz w:val="24"/>
            <w:szCs w:val="24"/>
            <w:u w:val="single"/>
            <w:rtl w:val="0"/>
          </w:rPr>
          <w:t xml:space="preserve">https://arxiv.org/html/2505.22626</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Confusion in Imitation Learning - Pim de Haan, </w:t>
      </w:r>
      <w:hyperlink r:id="rId131">
        <w:r w:rsidDel="00000000" w:rsidR="00000000" w:rsidRPr="00000000">
          <w:rPr>
            <w:rFonts w:ascii="Google Sans" w:cs="Google Sans" w:eastAsia="Google Sans" w:hAnsi="Google Sans"/>
            <w:color w:val="0000ee"/>
            <w:sz w:val="24"/>
            <w:szCs w:val="24"/>
            <w:u w:val="single"/>
            <w:rtl w:val="0"/>
          </w:rPr>
          <w:t xml:space="preserve">https://pimdehaan.com/assets/causal-confusion-in-imitation-learning.pdf</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Recognition in Procedural Videos using Generalized Task Graph, </w:t>
      </w:r>
      <w:hyperlink r:id="rId132">
        <w:r w:rsidDel="00000000" w:rsidR="00000000" w:rsidRPr="00000000">
          <w:rPr>
            <w:rFonts w:ascii="Google Sans" w:cs="Google Sans" w:eastAsia="Google Sans" w:hAnsi="Google Sans"/>
            <w:color w:val="0000ee"/>
            <w:sz w:val="24"/>
            <w:szCs w:val="24"/>
            <w:u w:val="single"/>
            <w:rtl w:val="0"/>
          </w:rPr>
          <w:t xml:space="preserve">https://openaccess.thecvf.com/content/ICCV2025/html/Lee_Error_Recognition_in_Procedural_Videos_using_Generalized_Task_Graph_ICCV_2025_paper.html</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Robot Data Curation with Mutual Information Estimators - arXiv, </w:t>
      </w:r>
      <w:hyperlink r:id="rId133">
        <w:r w:rsidDel="00000000" w:rsidR="00000000" w:rsidRPr="00000000">
          <w:rPr>
            <w:rFonts w:ascii="Google Sans" w:cs="Google Sans" w:eastAsia="Google Sans" w:hAnsi="Google Sans"/>
            <w:color w:val="0000ee"/>
            <w:sz w:val="24"/>
            <w:szCs w:val="24"/>
            <w:u w:val="single"/>
            <w:rtl w:val="0"/>
          </w:rPr>
          <w:t xml:space="preserve">https://arxiv.org/html/2502.08623v3</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Diffusion Policy: Imitation Learning from Suboptimal Data in, </w:t>
      </w:r>
      <w:hyperlink r:id="rId134">
        <w:r w:rsidDel="00000000" w:rsidR="00000000" w:rsidRPr="00000000">
          <w:rPr>
            <w:rFonts w:ascii="Google Sans" w:cs="Google Sans" w:eastAsia="Google Sans" w:hAnsi="Google Sans"/>
            <w:color w:val="0000ee"/>
            <w:sz w:val="24"/>
            <w:szCs w:val="24"/>
            <w:u w:val="single"/>
            <w:rtl w:val="0"/>
          </w:rPr>
          <w:t xml:space="preserve">https://www.alphaxiv.org/abs/2606.12365</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 Cloning, Feedback and Covariate Shift, </w:t>
      </w:r>
      <w:hyperlink r:id="rId135">
        <w:r w:rsidDel="00000000" w:rsidR="00000000" w:rsidRPr="00000000">
          <w:rPr>
            <w:rFonts w:ascii="Google Sans" w:cs="Google Sans" w:eastAsia="Google Sans" w:hAnsi="Google Sans"/>
            <w:color w:val="0000ee"/>
            <w:sz w:val="24"/>
            <w:szCs w:val="24"/>
            <w:u w:val="single"/>
            <w:rtl w:val="0"/>
          </w:rPr>
          <w:t xml:space="preserve">https://www.cs.cornell.edu/courses/cs4756/2023sp/assets/slides_notes/lec3_slides.pdf</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 Reducing Causal Confusion with Human-Placed Markers, </w:t>
      </w:r>
      <w:hyperlink r:id="rId136">
        <w:r w:rsidDel="00000000" w:rsidR="00000000" w:rsidRPr="00000000">
          <w:rPr>
            <w:rFonts w:ascii="Google Sans" w:cs="Google Sans" w:eastAsia="Google Sans" w:hAnsi="Google Sans"/>
            <w:color w:val="0000ee"/>
            <w:sz w:val="24"/>
            <w:szCs w:val="24"/>
            <w:u w:val="single"/>
            <w:rtl w:val="0"/>
          </w:rPr>
          <w:t xml:space="preserve">https://arxiv.org/html/2409.13607</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GABRIL: Gaze-Based Regularization for Mitigating Causal, </w:t>
      </w:r>
      <w:hyperlink r:id="rId137">
        <w:r w:rsidDel="00000000" w:rsidR="00000000" w:rsidRPr="00000000">
          <w:rPr>
            <w:rFonts w:ascii="Google Sans" w:cs="Google Sans" w:eastAsia="Google Sans" w:hAnsi="Google Sans"/>
            <w:color w:val="0000ee"/>
            <w:sz w:val="24"/>
            <w:szCs w:val="24"/>
            <w:u w:val="single"/>
            <w:rtl w:val="0"/>
          </w:rPr>
          <w:t xml:space="preserve">https://liralab.usc.edu/gabril/</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Diffusion Policy: Imitation Learning from Suboptimal Data in, </w:t>
      </w:r>
      <w:hyperlink r:id="rId138">
        <w:r w:rsidDel="00000000" w:rsidR="00000000" w:rsidRPr="00000000">
          <w:rPr>
            <w:rFonts w:ascii="Google Sans" w:cs="Google Sans" w:eastAsia="Google Sans" w:hAnsi="Google Sans"/>
            <w:color w:val="0000ee"/>
            <w:sz w:val="24"/>
            <w:szCs w:val="24"/>
            <w:u w:val="single"/>
            <w:rtl w:val="0"/>
          </w:rPr>
          <w:t xml:space="preserve">https://arxiv.org/abs/2606.12365</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Strengths, Problems, and the Future of Generalist Robot Policies, </w:t>
      </w:r>
      <w:hyperlink r:id="rId139">
        <w:r w:rsidDel="00000000" w:rsidR="00000000" w:rsidRPr="00000000">
          <w:rPr>
            <w:rFonts w:ascii="Google Sans" w:cs="Google Sans" w:eastAsia="Google Sans" w:hAnsi="Google Sans"/>
            <w:color w:val="0000ee"/>
            <w:sz w:val="24"/>
            <w:szCs w:val="24"/>
            <w:u w:val="single"/>
            <w:rtl w:val="0"/>
          </w:rPr>
          <w:t xml:space="preserve">https://penn-pal-lab.github.io/Pi0-Experiment-in-the-Wild/</w:t>
        </w:r>
      </w:hyperlink>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Functional Grasp for Robots via Semantic Hand-Object, </w:t>
      </w:r>
      <w:hyperlink r:id="rId140">
        <w:r w:rsidDel="00000000" w:rsidR="00000000" w:rsidRPr="00000000">
          <w:rPr>
            <w:rFonts w:ascii="Google Sans" w:cs="Google Sans" w:eastAsia="Google Sans" w:hAnsi="Google Sans"/>
            <w:color w:val="0000ee"/>
            <w:sz w:val="24"/>
            <w:szCs w:val="24"/>
            <w:u w:val="single"/>
            <w:rtl w:val="0"/>
          </w:rPr>
          <w:t xml:space="preserve">https://www.researchgate.net/publication/369838091_FunctionalGrasp_Learning_Functional_Grasp_for_Robots_Via_Semantic_Hand-Object_Representation</w:t>
        </w:r>
      </w:hyperlink>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6-DoF Grasp Generation in Cluttered Scenes - ResearchGate, </w:t>
      </w:r>
      <w:hyperlink r:id="rId141">
        <w:r w:rsidDel="00000000" w:rsidR="00000000" w:rsidRPr="00000000">
          <w:rPr>
            <w:rFonts w:ascii="Google Sans" w:cs="Google Sans" w:eastAsia="Google Sans" w:hAnsi="Google Sans"/>
            <w:color w:val="0000ee"/>
            <w:sz w:val="24"/>
            <w:szCs w:val="24"/>
            <w:u w:val="single"/>
            <w:rtl w:val="0"/>
          </w:rPr>
          <w:t xml:space="preserve">https://www.researchgate.net/publication/355434800_Contact-GraspNet_Efficient_6-DoF_Grasp_Generation_in_Cluttered_Scenes</w:t>
        </w:r>
      </w:hyperlink>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ContactDexNet: Multi-fingered Robotic Hand Grasping in Cluttered, </w:t>
      </w:r>
      <w:hyperlink r:id="rId142">
        <w:r w:rsidDel="00000000" w:rsidR="00000000" w:rsidRPr="00000000">
          <w:rPr>
            <w:rFonts w:ascii="Google Sans" w:cs="Google Sans" w:eastAsia="Google Sans" w:hAnsi="Google Sans"/>
            <w:color w:val="0000ee"/>
            <w:sz w:val="24"/>
            <w:szCs w:val="24"/>
            <w:u w:val="single"/>
            <w:rtl w:val="0"/>
          </w:rPr>
          <w:t xml:space="preserve">https://arxiv.org/html/2404.08844v3</w:t>
        </w:r>
      </w:hyperlink>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Detection in Egocentric Procedural Task Videos, </w:t>
      </w:r>
      <w:hyperlink r:id="rId143">
        <w:r w:rsidDel="00000000" w:rsidR="00000000" w:rsidRPr="00000000">
          <w:rPr>
            <w:rFonts w:ascii="Google Sans" w:cs="Google Sans" w:eastAsia="Google Sans" w:hAnsi="Google Sans"/>
            <w:color w:val="0000ee"/>
            <w:sz w:val="24"/>
            <w:szCs w:val="24"/>
            <w:u w:val="single"/>
            <w:rtl w:val="0"/>
          </w:rPr>
          <w:t xml:space="preserve">https://www.khoury.northeastern.edu/home/eelhami/publications/cvpr24_EgoPER.pdf</w:t>
        </w:r>
      </w:hyperlink>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Multiple Normal Action Representations for Error ... - CVPR, </w:t>
      </w:r>
      <w:hyperlink r:id="rId144">
        <w:r w:rsidDel="00000000" w:rsidR="00000000" w:rsidRPr="00000000">
          <w:rPr>
            <w:rFonts w:ascii="Google Sans" w:cs="Google Sans" w:eastAsia="Google Sans" w:hAnsi="Google Sans"/>
            <w:color w:val="0000ee"/>
            <w:sz w:val="24"/>
            <w:szCs w:val="24"/>
            <w:u w:val="single"/>
            <w:rtl w:val="0"/>
          </w:rPr>
          <w:t xml:space="preserve">https://cvpr.thecvf.com/virtual/2025/poster/34421</w:t>
        </w:r>
      </w:hyperlink>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Recognition in Procedural Videos using Generalized Task Graph, </w:t>
      </w:r>
      <w:hyperlink r:id="rId145">
        <w:r w:rsidDel="00000000" w:rsidR="00000000" w:rsidRPr="00000000">
          <w:rPr>
            <w:rFonts w:ascii="Google Sans" w:cs="Google Sans" w:eastAsia="Google Sans" w:hAnsi="Google Sans"/>
            <w:color w:val="0000ee"/>
            <w:sz w:val="24"/>
            <w:szCs w:val="24"/>
            <w:u w:val="single"/>
            <w:rtl w:val="0"/>
          </w:rPr>
          <w:t xml:space="preserve">http://www.khoury.northeastern.edu/home/eelhami/publications/iccv25_gtg2vid.pdf</w:t>
        </w:r>
      </w:hyperlink>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Learning of Retrievable Skills For Efficient Continual, </w:t>
      </w:r>
      <w:hyperlink r:id="rId146">
        <w:r w:rsidDel="00000000" w:rsidR="00000000" w:rsidRPr="00000000">
          <w:rPr>
            <w:rFonts w:ascii="Google Sans" w:cs="Google Sans" w:eastAsia="Google Sans" w:hAnsi="Google Sans"/>
            <w:color w:val="0000ee"/>
            <w:sz w:val="24"/>
            <w:szCs w:val="24"/>
            <w:u w:val="single"/>
            <w:rtl w:val="0"/>
          </w:rPr>
          <w:t xml:space="preserve">https://proceedings.neurips.cc/paper_files/paper/2024/file/1f0832859514e53a0e4f229fc9b3a4a2-Paper-Conference.pdf</w:t>
        </w:r>
      </w:hyperlink>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Human-Like Grasp: Functional Grasp by Dexterous Robotic, </w:t>
      </w:r>
      <w:hyperlink r:id="rId147">
        <w:r w:rsidDel="00000000" w:rsidR="00000000" w:rsidRPr="00000000">
          <w:rPr>
            <w:rFonts w:ascii="Google Sans" w:cs="Google Sans" w:eastAsia="Google Sans" w:hAnsi="Google Sans"/>
            <w:color w:val="0000ee"/>
            <w:sz w:val="24"/>
            <w:szCs w:val="24"/>
            <w:u w:val="single"/>
            <w:rtl w:val="0"/>
          </w:rPr>
          <w:t xml:space="preserve">https://www.computer.org/csdl/journal/tp/2023/10/10115005/1MQvah5jQn6</w:t>
        </w:r>
      </w:hyperlink>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Simulation Framework and Benchmark for Robot-to-Human Object, </w:t>
      </w:r>
      <w:hyperlink r:id="rId148">
        <w:r w:rsidDel="00000000" w:rsidR="00000000" w:rsidRPr="00000000">
          <w:rPr>
            <w:rFonts w:ascii="Google Sans" w:cs="Google Sans" w:eastAsia="Google Sans" w:hAnsi="Google Sans"/>
            <w:color w:val="0000ee"/>
            <w:sz w:val="24"/>
            <w:szCs w:val="24"/>
            <w:u w:val="single"/>
            <w:rtl w:val="0"/>
          </w:rPr>
          <w:t xml:space="preserve">https://arxiv.org/html/2606.21011v1</w:t>
        </w:r>
      </w:hyperlink>
      <w:r w:rsidDel="00000000" w:rsidR="00000000" w:rsidRPr="00000000">
        <w:rPr>
          <w:rtl w:val="0"/>
        </w:rPr>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Vision-Based Mistake Analysis in Procedural Activities - arXiv, </w:t>
      </w:r>
      <w:hyperlink r:id="rId149">
        <w:r w:rsidDel="00000000" w:rsidR="00000000" w:rsidRPr="00000000">
          <w:rPr>
            <w:rFonts w:ascii="Google Sans" w:cs="Google Sans" w:eastAsia="Google Sans" w:hAnsi="Google Sans"/>
            <w:color w:val="0000ee"/>
            <w:sz w:val="24"/>
            <w:szCs w:val="24"/>
            <w:u w:val="single"/>
            <w:rtl w:val="0"/>
          </w:rPr>
          <w:t xml:space="preserve">https://arxiv.org/html/2510.19292v2</w:t>
        </w:r>
      </w:hyperlink>
      <w:r w:rsidDel="00000000" w:rsidR="00000000" w:rsidRPr="00000000">
        <w:rPr>
          <w:rtl w:val="0"/>
        </w:rPr>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SafePlanner, </w:t>
      </w:r>
      <w:hyperlink r:id="rId150">
        <w:r w:rsidDel="00000000" w:rsidR="00000000" w:rsidRPr="00000000">
          <w:rPr>
            <w:rFonts w:ascii="Google Sans" w:cs="Google Sans" w:eastAsia="Google Sans" w:hAnsi="Google Sans"/>
            <w:color w:val="0000ee"/>
            <w:sz w:val="24"/>
            <w:szCs w:val="24"/>
            <w:u w:val="single"/>
            <w:rtl w:val="0"/>
          </w:rPr>
          <w:t xml:space="preserve">https://sites.google.com/view/safeplanner</w:t>
        </w:r>
      </w:hyperlink>
      <w:r w:rsidDel="00000000" w:rsidR="00000000" w:rsidRPr="00000000">
        <w:rPr>
          <w:rtl w:val="0"/>
        </w:rPr>
      </w:r>
    </w:p>
    <w:p w:rsidR="00000000" w:rsidDel="00000000" w:rsidP="00000000" w:rsidRDefault="00000000" w:rsidRPr="00000000" w14:paraId="000001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EgoErrorVQA: Assess Egocentric Comprehension Capabilities, </w:t>
      </w:r>
      <w:hyperlink r:id="rId151">
        <w:r w:rsidDel="00000000" w:rsidR="00000000" w:rsidRPr="00000000">
          <w:rPr>
            <w:rFonts w:ascii="Google Sans" w:cs="Google Sans" w:eastAsia="Google Sans" w:hAnsi="Google Sans"/>
            <w:color w:val="0000ee"/>
            <w:sz w:val="24"/>
            <w:szCs w:val="24"/>
            <w:u w:val="single"/>
            <w:rtl w:val="0"/>
          </w:rPr>
          <w:t xml:space="preserve">https://arxiv.org/html/2608.24134v1</w:t>
        </w:r>
      </w:hyperlink>
      <w:r w:rsidDel="00000000" w:rsidR="00000000" w:rsidRPr="00000000">
        <w:rPr>
          <w:rtl w:val="0"/>
        </w:rPr>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Graph-Grounded Error Recognition and Assistance for, </w:t>
      </w:r>
      <w:hyperlink r:id="rId152">
        <w:r w:rsidDel="00000000" w:rsidR="00000000" w:rsidRPr="00000000">
          <w:rPr>
            <w:rFonts w:ascii="Google Sans" w:cs="Google Sans" w:eastAsia="Google Sans" w:hAnsi="Google Sans"/>
            <w:color w:val="0000ee"/>
            <w:sz w:val="24"/>
            <w:szCs w:val="24"/>
            <w:u w:val="single"/>
            <w:rtl w:val="0"/>
          </w:rPr>
          <w:t xml:space="preserve">https://arxiv.org/html/2608.26715v1</w:t>
        </w:r>
      </w:hyperlink>
      <w:r w:rsidDel="00000000" w:rsidR="00000000" w:rsidRPr="00000000">
        <w:rPr>
          <w:rtl w:val="0"/>
        </w:rPr>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Egocentric Procedural Video Datasets (Context) - CVF Open Access, </w:t>
      </w:r>
      <w:hyperlink r:id="rId153">
        <w:r w:rsidDel="00000000" w:rsidR="00000000" w:rsidRPr="00000000">
          <w:rPr>
            <w:rFonts w:ascii="Google Sans" w:cs="Google Sans" w:eastAsia="Google Sans" w:hAnsi="Google Sans"/>
            <w:color w:val="0000ee"/>
            <w:sz w:val="24"/>
            <w:szCs w:val="24"/>
            <w:u w:val="single"/>
            <w:rtl w:val="0"/>
          </w:rPr>
          <w:t xml:space="preserve">https://openaccess.thecvf.com/content/CVPR2026W/EgoVis/supplemental/Loginova_How_to_Correctly_CVPRW_2026_supplemental.pdf</w:t>
        </w:r>
      </w:hyperlink>
      <w:r w:rsidDel="00000000" w:rsidR="00000000" w:rsidRPr="00000000">
        <w:rPr>
          <w:rtl w:val="0"/>
        </w:rPr>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Detection in Egocentric Procedural Task Videos - ResearchGate, </w:t>
      </w:r>
      <w:hyperlink r:id="rId154">
        <w:r w:rsidDel="00000000" w:rsidR="00000000" w:rsidRPr="00000000">
          <w:rPr>
            <w:rFonts w:ascii="Google Sans" w:cs="Google Sans" w:eastAsia="Google Sans" w:hAnsi="Google Sans"/>
            <w:color w:val="0000ee"/>
            <w:sz w:val="24"/>
            <w:szCs w:val="24"/>
            <w:u w:val="single"/>
            <w:rtl w:val="0"/>
          </w:rPr>
          <w:t xml:space="preserve">https://www.researchgate.net/publication/384234392_Error_Detection_in_Egocentric_Procedural_Task_Videos</w:t>
        </w:r>
      </w:hyperlink>
      <w:r w:rsidDel="00000000" w:rsidR="00000000" w:rsidRPr="00000000">
        <w:rPr>
          <w:rtl w:val="0"/>
        </w:rPr>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Stanford ILIAD, </w:t>
      </w:r>
      <w:hyperlink r:id="rId155">
        <w:r w:rsidDel="00000000" w:rsidR="00000000" w:rsidRPr="00000000">
          <w:rPr>
            <w:rFonts w:ascii="Google Sans" w:cs="Google Sans" w:eastAsia="Google Sans" w:hAnsi="Google Sans"/>
            <w:color w:val="0000ee"/>
            <w:sz w:val="24"/>
            <w:szCs w:val="24"/>
            <w:u w:val="single"/>
            <w:rtl w:val="0"/>
          </w:rPr>
          <w:t xml:space="preserve">https://iliad.stanford.edu/publications/</w:t>
        </w:r>
      </w:hyperlink>
      <w:r w:rsidDel="00000000" w:rsidR="00000000" w:rsidRPr="00000000">
        <w:rPr>
          <w:rtl w:val="0"/>
        </w:rPr>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CaptainCook4D: A Dataset for Understanding Errors in Procedural, </w:t>
      </w:r>
      <w:hyperlink r:id="rId156">
        <w:r w:rsidDel="00000000" w:rsidR="00000000" w:rsidRPr="00000000">
          <w:rPr>
            <w:rFonts w:ascii="Google Sans" w:cs="Google Sans" w:eastAsia="Google Sans" w:hAnsi="Google Sans"/>
            <w:color w:val="0000ee"/>
            <w:sz w:val="24"/>
            <w:szCs w:val="24"/>
            <w:u w:val="single"/>
            <w:rtl w:val="0"/>
          </w:rPr>
          <w:t xml:space="preserve">https://openreview.net/forum?id=YFUp7zMrM9</w:t>
        </w:r>
      </w:hyperlink>
      <w:r w:rsidDel="00000000" w:rsidR="00000000" w:rsidRPr="00000000">
        <w:rPr>
          <w:rtl w:val="0"/>
        </w:rPr>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Dataset for Understanding Errors in Procedural Activities - arXiv, </w:t>
      </w:r>
      <w:hyperlink r:id="rId157">
        <w:r w:rsidDel="00000000" w:rsidR="00000000" w:rsidRPr="00000000">
          <w:rPr>
            <w:rFonts w:ascii="Google Sans" w:cs="Google Sans" w:eastAsia="Google Sans" w:hAnsi="Google Sans"/>
            <w:color w:val="0000ee"/>
            <w:sz w:val="24"/>
            <w:szCs w:val="24"/>
            <w:u w:val="single"/>
            <w:rtl w:val="0"/>
          </w:rPr>
          <w:t xml:space="preserve">https://arxiv.org/html/2312.14556v4</w:t>
        </w:r>
      </w:hyperlink>
      <w:r w:rsidDel="00000000" w:rsidR="00000000" w:rsidRPr="00000000">
        <w:rPr>
          <w:rtl w:val="0"/>
        </w:rPr>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Correctly Make Mistakes: A Framework for Constructing and, </w:t>
      </w:r>
      <w:hyperlink r:id="rId158">
        <w:r w:rsidDel="00000000" w:rsidR="00000000" w:rsidRPr="00000000">
          <w:rPr>
            <w:rFonts w:ascii="Google Sans" w:cs="Google Sans" w:eastAsia="Google Sans" w:hAnsi="Google Sans"/>
            <w:color w:val="0000ee"/>
            <w:sz w:val="24"/>
            <w:szCs w:val="24"/>
            <w:u w:val="single"/>
            <w:rtl w:val="0"/>
          </w:rPr>
          <w:t xml:space="preserve">https://chatpaper.com/chatpaper/paper/269340</w:t>
        </w:r>
      </w:hyperlink>
      <w:r w:rsidDel="00000000" w:rsidR="00000000" w:rsidRPr="00000000">
        <w:rPr>
          <w:rtl w:val="0"/>
        </w:rPr>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Correctly Make Mistakes: A Framework for Constructing and, </w:t>
      </w:r>
      <w:hyperlink r:id="rId159">
        <w:r w:rsidDel="00000000" w:rsidR="00000000" w:rsidRPr="00000000">
          <w:rPr>
            <w:rFonts w:ascii="Google Sans" w:cs="Google Sans" w:eastAsia="Google Sans" w:hAnsi="Google Sans"/>
            <w:color w:val="0000ee"/>
            <w:sz w:val="24"/>
            <w:szCs w:val="24"/>
            <w:u w:val="single"/>
            <w:rtl w:val="0"/>
          </w:rPr>
          <w:t xml:space="preserve">https://arxiv.org/abs/2604.15134</w:t>
        </w:r>
      </w:hyperlink>
      <w:r w:rsidDel="00000000" w:rsidR="00000000" w:rsidRPr="00000000">
        <w:rPr>
          <w:rtl w:val="0"/>
        </w:rPr>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Mistake Detection via Action Effect Modeling, </w:t>
      </w:r>
      <w:hyperlink r:id="rId160">
        <w:r w:rsidDel="00000000" w:rsidR="00000000" w:rsidRPr="00000000">
          <w:rPr>
            <w:rFonts w:ascii="Google Sans" w:cs="Google Sans" w:eastAsia="Google Sans" w:hAnsi="Google Sans"/>
            <w:color w:val="0000ee"/>
            <w:sz w:val="24"/>
            <w:szCs w:val="24"/>
            <w:u w:val="single"/>
            <w:rtl w:val="0"/>
          </w:rPr>
          <w:t xml:space="preserve">https://wenliangguo.github.io/Mistake_Detection/</w:t>
        </w:r>
      </w:hyperlink>
      <w:r w:rsidDel="00000000" w:rsidR="00000000" w:rsidRPr="00000000">
        <w:rPr>
          <w:rtl w:val="0"/>
        </w:rPr>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Mistake Detection via Action Effect Modeling, </w:t>
      </w:r>
      <w:hyperlink r:id="rId161">
        <w:r w:rsidDel="00000000" w:rsidR="00000000" w:rsidRPr="00000000">
          <w:rPr>
            <w:rFonts w:ascii="Google Sans" w:cs="Google Sans" w:eastAsia="Google Sans" w:hAnsi="Google Sans"/>
            <w:color w:val="0000ee"/>
            <w:sz w:val="24"/>
            <w:szCs w:val="24"/>
            <w:u w:val="single"/>
            <w:rtl w:val="0"/>
          </w:rPr>
          <w:t xml:space="preserve">https://iclr.cc/media/iclr-2026/Slides/10010360.pdf</w:t>
        </w:r>
      </w:hyperlink>
      <w:r w:rsidDel="00000000" w:rsidR="00000000" w:rsidRPr="00000000">
        <w:rPr>
          <w:rtl w:val="0"/>
        </w:rPr>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Findings of the Association for Computational Linguistics: ACL 2026, </w:t>
      </w:r>
      <w:hyperlink r:id="rId162">
        <w:r w:rsidDel="00000000" w:rsidR="00000000" w:rsidRPr="00000000">
          <w:rPr>
            <w:rFonts w:ascii="Google Sans" w:cs="Google Sans" w:eastAsia="Google Sans" w:hAnsi="Google Sans"/>
            <w:color w:val="0000ee"/>
            <w:sz w:val="24"/>
            <w:szCs w:val="24"/>
            <w:u w:val="single"/>
            <w:rtl w:val="0"/>
          </w:rPr>
          <w:t xml:space="preserve">https://aclanthology.org/volumes/2026.findings-acl/</w:t>
        </w:r>
      </w:hyperlink>
      <w:r w:rsidDel="00000000" w:rsidR="00000000" w:rsidRPr="00000000">
        <w:rPr>
          <w:rtl w:val="0"/>
        </w:rPr>
      </w:r>
    </w:p>
    <w:p w:rsidR="00000000" w:rsidDel="00000000" w:rsidP="00000000" w:rsidRDefault="00000000" w:rsidRPr="00000000" w14:paraId="000001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ContactPose: A Dataset of Grasps with Object Contact and Hand Pose, </w:t>
      </w:r>
      <w:hyperlink r:id="rId163">
        <w:r w:rsidDel="00000000" w:rsidR="00000000" w:rsidRPr="00000000">
          <w:rPr>
            <w:rFonts w:ascii="Google Sans" w:cs="Google Sans" w:eastAsia="Google Sans" w:hAnsi="Google Sans"/>
            <w:color w:val="0000ee"/>
            <w:sz w:val="24"/>
            <w:szCs w:val="24"/>
            <w:u w:val="single"/>
            <w:rtl w:val="0"/>
          </w:rPr>
          <w:t xml:space="preserve">https://www.researchgate.net/publication/347208066_ContactPose_A_Dataset_of_Grasps_with_Object_Contact_and_Hand_Pose</w:t>
        </w:r>
      </w:hyperlink>
      <w:r w:rsidDel="00000000" w:rsidR="00000000" w:rsidRPr="00000000">
        <w:rPr>
          <w:rtl w:val="0"/>
        </w:rPr>
      </w:r>
    </w:p>
    <w:p w:rsidR="00000000" w:rsidDel="00000000" w:rsidP="00000000" w:rsidRDefault="00000000" w:rsidRPr="00000000" w14:paraId="000001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SCIZOR: A Self-Supervised Approach to Data Curation for Large, </w:t>
      </w:r>
      <w:hyperlink r:id="rId164">
        <w:r w:rsidDel="00000000" w:rsidR="00000000" w:rsidRPr="00000000">
          <w:rPr>
            <w:rFonts w:ascii="Google Sans" w:cs="Google Sans" w:eastAsia="Google Sans" w:hAnsi="Google Sans"/>
            <w:color w:val="0000ee"/>
            <w:sz w:val="24"/>
            <w:szCs w:val="24"/>
            <w:u w:val="single"/>
            <w:rtl w:val="0"/>
          </w:rPr>
          <w:t xml:space="preserve">https://www.alphaxiv.org/abs/2505.22626</w:t>
        </w:r>
      </w:hyperlink>
      <w:r w:rsidDel="00000000" w:rsidR="00000000" w:rsidRPr="00000000">
        <w:rPr>
          <w:rtl w:val="0"/>
        </w:rPr>
      </w:r>
    </w:p>
    <w:p w:rsidR="00000000" w:rsidDel="00000000" w:rsidP="00000000" w:rsidRDefault="00000000" w:rsidRPr="00000000" w14:paraId="000001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Trauma Video Review With Computer Vision - PMC - NIH, </w:t>
      </w:r>
      <w:hyperlink r:id="rId165">
        <w:r w:rsidDel="00000000" w:rsidR="00000000" w:rsidRPr="00000000">
          <w:rPr>
            <w:rFonts w:ascii="Google Sans" w:cs="Google Sans" w:eastAsia="Google Sans" w:hAnsi="Google Sans"/>
            <w:color w:val="0000ee"/>
            <w:sz w:val="24"/>
            <w:szCs w:val="24"/>
            <w:u w:val="single"/>
            <w:rtl w:val="0"/>
          </w:rPr>
          <w:t xml:space="preserve">https://pmc.ncbi.nlm.nih.gov/articles/PMC12727251/</w:t>
        </w:r>
      </w:hyperlink>
      <w:r w:rsidDel="00000000" w:rsidR="00000000" w:rsidRPr="00000000">
        <w:rPr>
          <w:rtl w:val="0"/>
        </w:rPr>
      </w:r>
    </w:p>
    <w:p w:rsidR="00000000" w:rsidDel="00000000" w:rsidP="00000000" w:rsidRDefault="00000000" w:rsidRPr="00000000" w14:paraId="000001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Human-Efficient Large-Scale Robot Post-Training with Rollout, </w:t>
      </w:r>
      <w:hyperlink r:id="rId166">
        <w:r w:rsidDel="00000000" w:rsidR="00000000" w:rsidRPr="00000000">
          <w:rPr>
            <w:rFonts w:ascii="Google Sans" w:cs="Google Sans" w:eastAsia="Google Sans" w:hAnsi="Google Sans"/>
            <w:color w:val="0000ee"/>
            <w:sz w:val="24"/>
            <w:szCs w:val="24"/>
            <w:u w:val="single"/>
            <w:rtl w:val="0"/>
          </w:rPr>
          <w:t xml:space="preserve">https://arxiv.org/html/2607.09776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6.png"/><Relationship Id="rId41" Type="http://schemas.openxmlformats.org/officeDocument/2006/relationships/image" Target="media/image12.png"/><Relationship Id="rId44" Type="http://schemas.openxmlformats.org/officeDocument/2006/relationships/image" Target="media/image15.png"/><Relationship Id="rId43" Type="http://schemas.openxmlformats.org/officeDocument/2006/relationships/image" Target="media/image14.png"/><Relationship Id="rId46" Type="http://schemas.openxmlformats.org/officeDocument/2006/relationships/image" Target="media/image2.png"/><Relationship Id="rId45" Type="http://schemas.openxmlformats.org/officeDocument/2006/relationships/image" Target="media/image1.png"/><Relationship Id="rId107" Type="http://schemas.openxmlformats.org/officeDocument/2006/relationships/image" Target="media/image9.png"/><Relationship Id="rId106" Type="http://schemas.openxmlformats.org/officeDocument/2006/relationships/image" Target="media/image33.png"/><Relationship Id="rId105" Type="http://schemas.openxmlformats.org/officeDocument/2006/relationships/image" Target="media/image8.png"/><Relationship Id="rId104" Type="http://schemas.openxmlformats.org/officeDocument/2006/relationships/image" Target="media/image13.png"/><Relationship Id="rId109" Type="http://schemas.openxmlformats.org/officeDocument/2006/relationships/image" Target="media/image39.png"/><Relationship Id="rId108" Type="http://schemas.openxmlformats.org/officeDocument/2006/relationships/image" Target="media/image7.png"/><Relationship Id="rId48" Type="http://schemas.openxmlformats.org/officeDocument/2006/relationships/image" Target="media/image4.png"/><Relationship Id="rId47" Type="http://schemas.openxmlformats.org/officeDocument/2006/relationships/image" Target="media/image3.png"/><Relationship Id="rId49" Type="http://schemas.openxmlformats.org/officeDocument/2006/relationships/image" Target="media/image28.png"/><Relationship Id="rId103" Type="http://schemas.openxmlformats.org/officeDocument/2006/relationships/image" Target="media/image11.png"/><Relationship Id="rId102" Type="http://schemas.openxmlformats.org/officeDocument/2006/relationships/image" Target="media/image29.png"/><Relationship Id="rId101" Type="http://schemas.openxmlformats.org/officeDocument/2006/relationships/image" Target="media/image59.png"/><Relationship Id="rId100" Type="http://schemas.openxmlformats.org/officeDocument/2006/relationships/image" Target="media/image64.png"/><Relationship Id="rId31" Type="http://schemas.openxmlformats.org/officeDocument/2006/relationships/image" Target="media/image71.png"/><Relationship Id="rId30" Type="http://schemas.openxmlformats.org/officeDocument/2006/relationships/image" Target="media/image70.png"/><Relationship Id="rId33" Type="http://schemas.openxmlformats.org/officeDocument/2006/relationships/image" Target="media/image78.png"/><Relationship Id="rId32" Type="http://schemas.openxmlformats.org/officeDocument/2006/relationships/image" Target="media/image77.png"/><Relationship Id="rId35" Type="http://schemas.openxmlformats.org/officeDocument/2006/relationships/image" Target="media/image5.png"/><Relationship Id="rId34" Type="http://schemas.openxmlformats.org/officeDocument/2006/relationships/image" Target="media/image83.png"/><Relationship Id="rId37" Type="http://schemas.openxmlformats.org/officeDocument/2006/relationships/image" Target="media/image24.png"/><Relationship Id="rId36" Type="http://schemas.openxmlformats.org/officeDocument/2006/relationships/image" Target="media/image25.png"/><Relationship Id="rId39" Type="http://schemas.openxmlformats.org/officeDocument/2006/relationships/image" Target="media/image20.png"/><Relationship Id="rId38" Type="http://schemas.openxmlformats.org/officeDocument/2006/relationships/image" Target="media/image46.png"/><Relationship Id="rId20" Type="http://schemas.openxmlformats.org/officeDocument/2006/relationships/image" Target="media/image91.png"/><Relationship Id="rId22" Type="http://schemas.openxmlformats.org/officeDocument/2006/relationships/image" Target="media/image102.png"/><Relationship Id="rId21" Type="http://schemas.openxmlformats.org/officeDocument/2006/relationships/image" Target="media/image106.png"/><Relationship Id="rId24" Type="http://schemas.openxmlformats.org/officeDocument/2006/relationships/image" Target="media/image101.png"/><Relationship Id="rId23" Type="http://schemas.openxmlformats.org/officeDocument/2006/relationships/image" Target="media/image103.png"/><Relationship Id="rId129" Type="http://schemas.openxmlformats.org/officeDocument/2006/relationships/hyperlink" Target="https://www.themoonlight.io/en/review/vision-based-mistake-analysis-in-procedural-activities-a-review-of-advances-and-challenges" TargetMode="External"/><Relationship Id="rId128" Type="http://schemas.openxmlformats.org/officeDocument/2006/relationships/hyperlink" Target="https://arxiv.org/html/2503.01252v1" TargetMode="External"/><Relationship Id="rId127" Type="http://schemas.openxmlformats.org/officeDocument/2006/relationships/hyperlink" Target="https://arxiv.org/html/2510.19495v1" TargetMode="External"/><Relationship Id="rId126" Type="http://schemas.openxmlformats.org/officeDocument/2006/relationships/hyperlink" Target="https://arxiv.org/html/2606.12365v1" TargetMode="External"/><Relationship Id="rId26" Type="http://schemas.openxmlformats.org/officeDocument/2006/relationships/image" Target="media/image68.png"/><Relationship Id="rId121" Type="http://schemas.openxmlformats.org/officeDocument/2006/relationships/hyperlink" Target="https://optimusk.blog/blog/tesla-optimus-factory-tasks-real-world-use-cases/" TargetMode="External"/><Relationship Id="rId25" Type="http://schemas.openxmlformats.org/officeDocument/2006/relationships/image" Target="media/image66.png"/><Relationship Id="rId120" Type="http://schemas.openxmlformats.org/officeDocument/2006/relationships/hyperlink" Target="https://www.roboticscenter.ai/blog/tesla-optimus-price-availability" TargetMode="External"/><Relationship Id="rId28" Type="http://schemas.openxmlformats.org/officeDocument/2006/relationships/image" Target="media/image108.png"/><Relationship Id="rId27" Type="http://schemas.openxmlformats.org/officeDocument/2006/relationships/image" Target="media/image74.png"/><Relationship Id="rId125" Type="http://schemas.openxmlformats.org/officeDocument/2006/relationships/hyperlink" Target="https://developer.nvidia.com/blog/streamline-robot-learning-with-whole-body-control-and-enhanced-teleoperation-in-nvidia-isaac-lab-2-3/" TargetMode="External"/><Relationship Id="rId29" Type="http://schemas.openxmlformats.org/officeDocument/2006/relationships/image" Target="media/image109.png"/><Relationship Id="rId124" Type="http://schemas.openxmlformats.org/officeDocument/2006/relationships/hyperlink" Target="https://theroboticlife.com/tesla-optimus-gen-3-learning/" TargetMode="External"/><Relationship Id="rId123" Type="http://schemas.openxmlformats.org/officeDocument/2006/relationships/hyperlink" Target="https://www.evsint.com/embodied-ai-data-collection-teleoperation-sim-to-real-2026/" TargetMode="External"/><Relationship Id="rId122" Type="http://schemas.openxmlformats.org/officeDocument/2006/relationships/hyperlink" Target="https://robocloud-dashboard.vercel.app/learn/blog/pi0-physical-intelligence" TargetMode="External"/><Relationship Id="rId95" Type="http://schemas.openxmlformats.org/officeDocument/2006/relationships/image" Target="media/image87.png"/><Relationship Id="rId94" Type="http://schemas.openxmlformats.org/officeDocument/2006/relationships/image" Target="media/image98.png"/><Relationship Id="rId97" Type="http://schemas.openxmlformats.org/officeDocument/2006/relationships/image" Target="media/image90.png"/><Relationship Id="rId96" Type="http://schemas.openxmlformats.org/officeDocument/2006/relationships/image" Target="media/image89.png"/><Relationship Id="rId11" Type="http://schemas.openxmlformats.org/officeDocument/2006/relationships/image" Target="media/image10.png"/><Relationship Id="rId99" Type="http://schemas.openxmlformats.org/officeDocument/2006/relationships/image" Target="media/image92.png"/><Relationship Id="rId10" Type="http://schemas.openxmlformats.org/officeDocument/2006/relationships/image" Target="media/image82.png"/><Relationship Id="rId98" Type="http://schemas.openxmlformats.org/officeDocument/2006/relationships/image" Target="media/image93.png"/><Relationship Id="rId13" Type="http://schemas.openxmlformats.org/officeDocument/2006/relationships/image" Target="media/image96.png"/><Relationship Id="rId12" Type="http://schemas.openxmlformats.org/officeDocument/2006/relationships/image" Target="media/image86.png"/><Relationship Id="rId91" Type="http://schemas.openxmlformats.org/officeDocument/2006/relationships/image" Target="media/image56.png"/><Relationship Id="rId90" Type="http://schemas.openxmlformats.org/officeDocument/2006/relationships/image" Target="media/image45.png"/><Relationship Id="rId93" Type="http://schemas.openxmlformats.org/officeDocument/2006/relationships/image" Target="media/image47.png"/><Relationship Id="rId92" Type="http://schemas.openxmlformats.org/officeDocument/2006/relationships/image" Target="media/image76.png"/><Relationship Id="rId118" Type="http://schemas.openxmlformats.org/officeDocument/2006/relationships/hyperlink" Target="https://medium.com/@siamak.yousefi.1984_58741/robotics-foundation-models-by-physical-intelligence-openpi-663dc55aa9d3" TargetMode="External"/><Relationship Id="rId117" Type="http://schemas.openxmlformats.org/officeDocument/2006/relationships/hyperlink" Target="https://proceedings.neurips.cc/paper_files/paper/2023/hash/fe692980c5d9732cf153ce27947653a7-Abstract-Conference.html" TargetMode="External"/><Relationship Id="rId116" Type="http://schemas.openxmlformats.org/officeDocument/2006/relationships/hyperlink" Target="https://arxiv.org/html/2410.24164v1" TargetMode="External"/><Relationship Id="rId115" Type="http://schemas.openxmlformats.org/officeDocument/2006/relationships/hyperlink" Target="https://www.pi.website/blog/pi0" TargetMode="External"/><Relationship Id="rId119" Type="http://schemas.openxmlformats.org/officeDocument/2006/relationships/hyperlink" Target="https://arxiv.org/html/2410.13126v1" TargetMode="External"/><Relationship Id="rId15" Type="http://schemas.openxmlformats.org/officeDocument/2006/relationships/image" Target="media/image95.png"/><Relationship Id="rId110" Type="http://schemas.openxmlformats.org/officeDocument/2006/relationships/image" Target="media/image73.png"/><Relationship Id="rId14" Type="http://schemas.openxmlformats.org/officeDocument/2006/relationships/image" Target="media/image99.png"/><Relationship Id="rId17" Type="http://schemas.openxmlformats.org/officeDocument/2006/relationships/image" Target="media/image100.png"/><Relationship Id="rId16" Type="http://schemas.openxmlformats.org/officeDocument/2006/relationships/image" Target="media/image104.png"/><Relationship Id="rId19" Type="http://schemas.openxmlformats.org/officeDocument/2006/relationships/image" Target="media/image94.png"/><Relationship Id="rId114" Type="http://schemas.openxmlformats.org/officeDocument/2006/relationships/image" Target="media/image61.png"/><Relationship Id="rId18" Type="http://schemas.openxmlformats.org/officeDocument/2006/relationships/image" Target="media/image105.png"/><Relationship Id="rId113" Type="http://schemas.openxmlformats.org/officeDocument/2006/relationships/image" Target="media/image65.png"/><Relationship Id="rId112" Type="http://schemas.openxmlformats.org/officeDocument/2006/relationships/image" Target="media/image62.png"/><Relationship Id="rId111" Type="http://schemas.openxmlformats.org/officeDocument/2006/relationships/image" Target="media/image97.png"/><Relationship Id="rId84" Type="http://schemas.openxmlformats.org/officeDocument/2006/relationships/image" Target="media/image72.png"/><Relationship Id="rId83" Type="http://schemas.openxmlformats.org/officeDocument/2006/relationships/image" Target="media/image49.png"/><Relationship Id="rId86" Type="http://schemas.openxmlformats.org/officeDocument/2006/relationships/image" Target="media/image51.png"/><Relationship Id="rId85" Type="http://schemas.openxmlformats.org/officeDocument/2006/relationships/image" Target="media/image50.png"/><Relationship Id="rId88" Type="http://schemas.openxmlformats.org/officeDocument/2006/relationships/image" Target="media/image52.png"/><Relationship Id="rId150" Type="http://schemas.openxmlformats.org/officeDocument/2006/relationships/hyperlink" Target="https://sites.google.com/view/safeplanner" TargetMode="External"/><Relationship Id="rId87" Type="http://schemas.openxmlformats.org/officeDocument/2006/relationships/image" Target="media/image54.png"/><Relationship Id="rId89" Type="http://schemas.openxmlformats.org/officeDocument/2006/relationships/image" Target="media/image79.png"/><Relationship Id="rId80" Type="http://schemas.openxmlformats.org/officeDocument/2006/relationships/image" Target="media/image80.png"/><Relationship Id="rId82" Type="http://schemas.openxmlformats.org/officeDocument/2006/relationships/image" Target="media/image85.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html/2510.19292v2" TargetMode="External"/><Relationship Id="rId4" Type="http://schemas.openxmlformats.org/officeDocument/2006/relationships/numbering" Target="numbering.xml"/><Relationship Id="rId148" Type="http://schemas.openxmlformats.org/officeDocument/2006/relationships/hyperlink" Target="https://arxiv.org/html/2606.21011v1" TargetMode="External"/><Relationship Id="rId9" Type="http://schemas.openxmlformats.org/officeDocument/2006/relationships/image" Target="media/image81.png"/><Relationship Id="rId143" Type="http://schemas.openxmlformats.org/officeDocument/2006/relationships/hyperlink" Target="https://www.khoury.northeastern.edu/home/eelhami/publications/cvpr24_EgoPER.pdf" TargetMode="External"/><Relationship Id="rId142" Type="http://schemas.openxmlformats.org/officeDocument/2006/relationships/hyperlink" Target="https://arxiv.org/html/2404.08844v3" TargetMode="External"/><Relationship Id="rId141" Type="http://schemas.openxmlformats.org/officeDocument/2006/relationships/hyperlink" Target="https://www.researchgate.net/publication/355434800_Contact-GraspNet_Efficient_6-DoF_Grasp_Generation_in_Cluttered_Scenes" TargetMode="External"/><Relationship Id="rId140" Type="http://schemas.openxmlformats.org/officeDocument/2006/relationships/hyperlink" Target="https://www.researchgate.net/publication/369838091_FunctionalGrasp_Learning_Functional_Grasp_for_Robots_Via_Semantic_Hand-Object_Representation" TargetMode="External"/><Relationship Id="rId5" Type="http://schemas.openxmlformats.org/officeDocument/2006/relationships/styles" Target="styles.xml"/><Relationship Id="rId147" Type="http://schemas.openxmlformats.org/officeDocument/2006/relationships/hyperlink" Target="https://www.computer.org/csdl/journal/tp/2023/10/10115005/1MQvah5jQn6" TargetMode="External"/><Relationship Id="rId6" Type="http://schemas.openxmlformats.org/officeDocument/2006/relationships/image" Target="media/image6.png"/><Relationship Id="rId146" Type="http://schemas.openxmlformats.org/officeDocument/2006/relationships/hyperlink" Target="https://proceedings.neurips.cc/paper_files/paper/2024/file/1f0832859514e53a0e4f229fc9b3a4a2-Paper-Conference.pdf" TargetMode="External"/><Relationship Id="rId7" Type="http://schemas.openxmlformats.org/officeDocument/2006/relationships/image" Target="media/image17.png"/><Relationship Id="rId145" Type="http://schemas.openxmlformats.org/officeDocument/2006/relationships/hyperlink" Target="http://www.khoury.northeastern.edu/home/eelhami/publications/iccv25_gtg2vid.pdf" TargetMode="External"/><Relationship Id="rId8" Type="http://schemas.openxmlformats.org/officeDocument/2006/relationships/image" Target="media/image84.png"/><Relationship Id="rId144" Type="http://schemas.openxmlformats.org/officeDocument/2006/relationships/hyperlink" Target="https://cvpr.thecvf.com/virtual/2025/poster/34421" TargetMode="External"/><Relationship Id="rId73" Type="http://schemas.openxmlformats.org/officeDocument/2006/relationships/image" Target="media/image63.png"/><Relationship Id="rId72" Type="http://schemas.openxmlformats.org/officeDocument/2006/relationships/image" Target="media/image55.png"/><Relationship Id="rId75" Type="http://schemas.openxmlformats.org/officeDocument/2006/relationships/image" Target="media/image57.png"/><Relationship Id="rId74" Type="http://schemas.openxmlformats.org/officeDocument/2006/relationships/image" Target="media/image75.png"/><Relationship Id="rId77" Type="http://schemas.openxmlformats.org/officeDocument/2006/relationships/image" Target="media/image107.png"/><Relationship Id="rId76" Type="http://schemas.openxmlformats.org/officeDocument/2006/relationships/image" Target="media/image67.png"/><Relationship Id="rId79" Type="http://schemas.openxmlformats.org/officeDocument/2006/relationships/image" Target="media/image60.png"/><Relationship Id="rId78" Type="http://schemas.openxmlformats.org/officeDocument/2006/relationships/image" Target="media/image88.png"/><Relationship Id="rId71" Type="http://schemas.openxmlformats.org/officeDocument/2006/relationships/image" Target="media/image23.png"/><Relationship Id="rId70" Type="http://schemas.openxmlformats.org/officeDocument/2006/relationships/image" Target="media/image18.png"/><Relationship Id="rId139" Type="http://schemas.openxmlformats.org/officeDocument/2006/relationships/hyperlink" Target="https://penn-pal-lab.github.io/Pi0-Experiment-in-the-Wild/" TargetMode="External"/><Relationship Id="rId138" Type="http://schemas.openxmlformats.org/officeDocument/2006/relationships/hyperlink" Target="https://arxiv.org/abs/2606.12365" TargetMode="External"/><Relationship Id="rId137" Type="http://schemas.openxmlformats.org/officeDocument/2006/relationships/hyperlink" Target="https://liralab.usc.edu/gabril/" TargetMode="External"/><Relationship Id="rId132" Type="http://schemas.openxmlformats.org/officeDocument/2006/relationships/hyperlink" Target="https://openaccess.thecvf.com/content/ICCV2025/html/Lee_Error_Recognition_in_Procedural_Videos_using_Generalized_Task_Graph_ICCV_2025_paper.html" TargetMode="External"/><Relationship Id="rId131" Type="http://schemas.openxmlformats.org/officeDocument/2006/relationships/hyperlink" Target="https://pimdehaan.com/assets/causal-confusion-in-imitation-learning.pdf" TargetMode="External"/><Relationship Id="rId130" Type="http://schemas.openxmlformats.org/officeDocument/2006/relationships/hyperlink" Target="https://arxiv.org/html/2505.22626" TargetMode="External"/><Relationship Id="rId136" Type="http://schemas.openxmlformats.org/officeDocument/2006/relationships/hyperlink" Target="https://arxiv.org/html/2409.13607" TargetMode="External"/><Relationship Id="rId135" Type="http://schemas.openxmlformats.org/officeDocument/2006/relationships/hyperlink" Target="https://www.cs.cornell.edu/courses/cs4756/2023sp/assets/slides_notes/lec3_slides.pdf" TargetMode="External"/><Relationship Id="rId134" Type="http://schemas.openxmlformats.org/officeDocument/2006/relationships/hyperlink" Target="https://www.alphaxiv.org/abs/2606.12365" TargetMode="External"/><Relationship Id="rId133" Type="http://schemas.openxmlformats.org/officeDocument/2006/relationships/hyperlink" Target="https://arxiv.org/html/2502.08623v3" TargetMode="External"/><Relationship Id="rId62" Type="http://schemas.openxmlformats.org/officeDocument/2006/relationships/image" Target="media/image26.png"/><Relationship Id="rId61" Type="http://schemas.openxmlformats.org/officeDocument/2006/relationships/image" Target="media/image22.png"/><Relationship Id="rId64" Type="http://schemas.openxmlformats.org/officeDocument/2006/relationships/image" Target="media/image58.png"/><Relationship Id="rId63" Type="http://schemas.openxmlformats.org/officeDocument/2006/relationships/image" Target="media/image37.png"/><Relationship Id="rId66" Type="http://schemas.openxmlformats.org/officeDocument/2006/relationships/image" Target="media/image42.png"/><Relationship Id="rId65" Type="http://schemas.openxmlformats.org/officeDocument/2006/relationships/image" Target="media/image36.png"/><Relationship Id="rId68" Type="http://schemas.openxmlformats.org/officeDocument/2006/relationships/image" Target="media/image35.png"/><Relationship Id="rId67" Type="http://schemas.openxmlformats.org/officeDocument/2006/relationships/image" Target="media/image30.png"/><Relationship Id="rId60" Type="http://schemas.openxmlformats.org/officeDocument/2006/relationships/image" Target="media/image27.png"/><Relationship Id="rId165" Type="http://schemas.openxmlformats.org/officeDocument/2006/relationships/hyperlink" Target="https://pmc.ncbi.nlm.nih.gov/articles/PMC12727251/" TargetMode="External"/><Relationship Id="rId69" Type="http://schemas.openxmlformats.org/officeDocument/2006/relationships/image" Target="media/image32.png"/><Relationship Id="rId164" Type="http://schemas.openxmlformats.org/officeDocument/2006/relationships/hyperlink" Target="https://www.alphaxiv.org/abs/2505.22626" TargetMode="External"/><Relationship Id="rId163" Type="http://schemas.openxmlformats.org/officeDocument/2006/relationships/hyperlink" Target="https://www.researchgate.net/publication/347208066_ContactPose_A_Dataset_of_Grasps_with_Object_Contact_and_Hand_Pose" TargetMode="External"/><Relationship Id="rId162" Type="http://schemas.openxmlformats.org/officeDocument/2006/relationships/hyperlink" Target="https://aclanthology.org/volumes/2026.findings-acl/" TargetMode="External"/><Relationship Id="rId166" Type="http://schemas.openxmlformats.org/officeDocument/2006/relationships/hyperlink" Target="https://arxiv.org/html/2607.09776" TargetMode="External"/><Relationship Id="rId51" Type="http://schemas.openxmlformats.org/officeDocument/2006/relationships/image" Target="media/image40.png"/><Relationship Id="rId50" Type="http://schemas.openxmlformats.org/officeDocument/2006/relationships/image" Target="media/image21.png"/><Relationship Id="rId53" Type="http://schemas.openxmlformats.org/officeDocument/2006/relationships/image" Target="media/image31.png"/><Relationship Id="rId52" Type="http://schemas.openxmlformats.org/officeDocument/2006/relationships/image" Target="media/image34.png"/><Relationship Id="rId55" Type="http://schemas.openxmlformats.org/officeDocument/2006/relationships/image" Target="media/image43.png"/><Relationship Id="rId161" Type="http://schemas.openxmlformats.org/officeDocument/2006/relationships/hyperlink" Target="https://iclr.cc/media/iclr-2026/Slides/10010360.pdf" TargetMode="External"/><Relationship Id="rId54" Type="http://schemas.openxmlformats.org/officeDocument/2006/relationships/image" Target="media/image41.png"/><Relationship Id="rId160" Type="http://schemas.openxmlformats.org/officeDocument/2006/relationships/hyperlink" Target="https://wenliangguo.github.io/Mistake_Detection/" TargetMode="External"/><Relationship Id="rId57" Type="http://schemas.openxmlformats.org/officeDocument/2006/relationships/image" Target="media/image44.png"/><Relationship Id="rId56" Type="http://schemas.openxmlformats.org/officeDocument/2006/relationships/image" Target="media/image69.png"/><Relationship Id="rId159" Type="http://schemas.openxmlformats.org/officeDocument/2006/relationships/hyperlink" Target="https://arxiv.org/abs/2604.15134" TargetMode="External"/><Relationship Id="rId59" Type="http://schemas.openxmlformats.org/officeDocument/2006/relationships/image" Target="media/image48.png"/><Relationship Id="rId154" Type="http://schemas.openxmlformats.org/officeDocument/2006/relationships/hyperlink" Target="https://www.researchgate.net/publication/384234392_Error_Detection_in_Egocentric_Procedural_Task_Videos" TargetMode="External"/><Relationship Id="rId58" Type="http://schemas.openxmlformats.org/officeDocument/2006/relationships/image" Target="media/image38.png"/><Relationship Id="rId153" Type="http://schemas.openxmlformats.org/officeDocument/2006/relationships/hyperlink" Target="https://openaccess.thecvf.com/content/CVPR2026W/EgoVis/supplemental/Loginova_How_to_Correctly_CVPRW_2026_supplemental.pdf" TargetMode="External"/><Relationship Id="rId152" Type="http://schemas.openxmlformats.org/officeDocument/2006/relationships/hyperlink" Target="https://arxiv.org/html/2608.26715v1" TargetMode="External"/><Relationship Id="rId151" Type="http://schemas.openxmlformats.org/officeDocument/2006/relationships/hyperlink" Target="https://arxiv.org/html/2608.24134v1" TargetMode="External"/><Relationship Id="rId158" Type="http://schemas.openxmlformats.org/officeDocument/2006/relationships/hyperlink" Target="https://chatpaper.com/chatpaper/paper/269340" TargetMode="External"/><Relationship Id="rId157" Type="http://schemas.openxmlformats.org/officeDocument/2006/relationships/hyperlink" Target="https://arxiv.org/html/2312.14556v4" TargetMode="External"/><Relationship Id="rId156" Type="http://schemas.openxmlformats.org/officeDocument/2006/relationships/hyperlink" Target="https://openreview.net/forum?id=YFUp7zMrM9" TargetMode="External"/><Relationship Id="rId155" Type="http://schemas.openxmlformats.org/officeDocument/2006/relationships/hyperlink" Target="https://iliad.stanford.edu/publ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