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Ujjawal Rathod (Individual Capstone)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r>
              <w:rPr>
                <w:rFonts w:ascii="Calibri" w:hAnsi="Calibri"/>
                <w:b/>
                <w:sz w:val="19"/>
              </w:rPr>
              <w:t>PS-1</w:t>
            </w:r>
          </w:p>
        </w:tc>
        <w:tc>
          <w:tcPr/>
          <w:p>
            <w:r/>
            <w:r>
              <w:rPr>
                <w:rFonts w:ascii="Calibri" w:hAnsi="Calibri"/>
                <w:b w:val="0"/>
                <w:sz w:val="19"/>
              </w:rPr>
              <w:t>Emily Johnson (Market Strategy Director) — a senior automotive strategist responsible for EV product portfolio planning and budget allocation.</w:t>
            </w:r>
          </w:p>
        </w:tc>
        <w:tc>
          <w:tcPr/>
          <w:p>
            <w:r/>
            <w:r>
              <w:rPr>
                <w:rFonts w:ascii="Calibri" w:hAnsi="Calibri"/>
                <w:b w:val="0"/>
                <w:sz w:val="19"/>
              </w:rPr>
              <w:t>Identify which of the 15 EV categories drive the highest annual sales, track model-year trends (2018–2026), and align driving range with customer ratings.</w:t>
            </w:r>
          </w:p>
        </w:tc>
        <w:tc>
          <w:tcPr/>
          <w:p>
            <w:r/>
            <w:r>
              <w:rPr>
                <w:rFonts w:ascii="Calibri" w:hAnsi="Calibri"/>
                <w:b w:val="0"/>
                <w:sz w:val="19"/>
              </w:rPr>
              <w:t>It takes too long to extract clear insights on category volume, growth stability, and customer satisfaction from raw records.</w:t>
            </w:r>
          </w:p>
        </w:tc>
        <w:tc>
          <w:tcPr/>
          <w:p>
            <w:r/>
            <w:r>
              <w:rPr>
                <w:rFonts w:ascii="Calibri" w:hAnsi="Calibri"/>
                <w:b w:val="0"/>
                <w:sz w:val="19"/>
              </w:rPr>
              <w:t>Data is split across ev_market_train.csv (200k rows) and ev_market_test.csv (100k rows) with 37 columns and missing values (~1% in sales, ~2% in ratings).</w:t>
            </w:r>
          </w:p>
        </w:tc>
        <w:tc>
          <w:tcPr/>
          <w:p>
            <w:r/>
            <w:r>
              <w:rPr>
                <w:rFonts w:ascii="Calibri" w:hAnsi="Calibri"/>
                <w:b w:val="0"/>
                <w:sz w:val="19"/>
              </w:rPr>
              <w:t>Frustrated and uncertain when making high-stakes investment decisions without interactive visual proof.</w:t>
            </w:r>
          </w:p>
        </w:tc>
      </w:tr>
      <w:tr>
        <w:trPr>
          <w:cantSplit w:val="0"/>
          <w:tblHeader w:val="0"/>
        </w:trPr>
        <w:tc>
          <w:tcPr/>
          <w:p>
            <w:r/>
            <w:r>
              <w:rPr>
                <w:rFonts w:ascii="Calibri" w:hAnsi="Calibri"/>
                <w:b/>
                <w:sz w:val="19"/>
              </w:rPr>
              <w:t>PS-2</w:t>
            </w:r>
          </w:p>
        </w:tc>
        <w:tc>
          <w:tcPr/>
          <w:p>
            <w:r/>
            <w:r>
              <w:rPr>
                <w:rFonts w:ascii="Calibri" w:hAnsi="Calibri"/>
                <w:b w:val="0"/>
                <w:sz w:val="19"/>
              </w:rPr>
              <w:t>David Chen (Automotive BI Manager) — a business intelligence lead tracking global competitor market share, battery adoption, and regional demand.</w:t>
            </w:r>
          </w:p>
        </w:tc>
        <w:tc>
          <w:tcPr/>
          <w:p>
            <w:r/>
            <w:r>
              <w:rPr>
                <w:rFonts w:ascii="Calibri" w:hAnsi="Calibri"/>
                <w:b w:val="0"/>
                <w:sz w:val="19"/>
              </w:rPr>
              <w:t>Benchmark the Top 10 manufacturers across 200 competitors, analyze production across 10 countries, and spot regional product positioning opportunities.</w:t>
            </w:r>
          </w:p>
        </w:tc>
        <w:tc>
          <w:tcPr/>
          <w:p>
            <w:r/>
            <w:r>
              <w:rPr>
                <w:rFonts w:ascii="Calibri" w:hAnsi="Calibri"/>
                <w:b w:val="0"/>
                <w:sz w:val="19"/>
              </w:rPr>
              <w:t>Standard Top-N filters distort market share percentages, and flat regional totals (~330M per region) obscure category-specific demand.</w:t>
            </w:r>
          </w:p>
        </w:tc>
        <w:tc>
          <w:tcPr/>
          <w:p>
            <w:r/>
            <w:r>
              <w:rPr>
                <w:rFonts w:ascii="Calibri" w:hAnsi="Calibri"/>
                <w:b w:val="0"/>
                <w:sz w:val="19"/>
              </w:rPr>
              <w:t>The EV market is highly fragmented (top manufacturer Ampere Works holds ~0.59% share), requiring FIXED LOD calculations and a Region × Category heatmap.</w:t>
            </w:r>
          </w:p>
        </w:tc>
        <w:tc>
          <w:tcPr/>
          <w:p>
            <w:r/>
            <w:r>
              <w:rPr>
                <w:rFonts w:ascii="Calibri" w:hAnsi="Calibri"/>
                <w:b w:val="0"/>
                <w:sz w:val="19"/>
              </w:rPr>
              <w:t>Stressed and concerned about misinterpreting competitor dominance or missing regional expansion pockets.</w:t>
            </w:r>
          </w:p>
        </w:tc>
      </w:tr>
      <w:tr>
        <w:tc>
          <w:tcPr>
            <w:tcW w:type="dxa" w:w="1838"/>
          </w:tcPr>
          <w:p>
            <w:r/>
            <w:r>
              <w:rPr>
                <w:rFonts w:ascii="Calibri" w:hAnsi="Calibri"/>
                <w:b/>
                <w:sz w:val="19"/>
              </w:rPr>
              <w:t>PS-3</w:t>
            </w:r>
          </w:p>
        </w:tc>
        <w:tc>
          <w:tcPr>
            <w:tcW w:type="dxa" w:w="1418"/>
          </w:tcPr>
          <w:p>
            <w:r/>
            <w:r>
              <w:rPr>
                <w:rFonts w:ascii="Calibri" w:hAnsi="Calibri"/>
                <w:b w:val="0"/>
                <w:sz w:val="19"/>
              </w:rPr>
              <w:t>Dr. Sarah Williams (Sustainable Mobility Researcher) — an EV researcher evaluating battery chemistries, energy efficiency, and range trends.</w:t>
            </w:r>
          </w:p>
        </w:tc>
        <w:tc>
          <w:tcPr>
            <w:tcW w:type="dxa" w:w="1559"/>
          </w:tcPr>
          <w:p>
            <w:r/>
            <w:r>
              <w:rPr>
                <w:rFonts w:ascii="Calibri" w:hAnsi="Calibri"/>
                <w:b w:val="0"/>
                <w:sz w:val="19"/>
              </w:rPr>
              <w:t>Compare how battery types (NMC, LFP, NCA, Sodium-Ion, Solid-State) affect driving range (km), efficiency (Wh/km), and customer satisfaction over time.</w:t>
            </w:r>
          </w:p>
        </w:tc>
        <w:tc>
          <w:tcPr>
            <w:tcW w:type="dxa" w:w="1207"/>
          </w:tcPr>
          <w:p>
            <w:r/>
            <w:r>
              <w:rPr>
                <w:rFonts w:ascii="Calibri" w:hAnsi="Calibri"/>
                <w:b w:val="0"/>
                <w:sz w:val="19"/>
              </w:rPr>
              <w:t>Default zoomed-in chart axes make minor random fluctuations (~319–329 km) look like dramatic technology shifts, hiding the true drivers of range.</w:t>
            </w:r>
          </w:p>
        </w:tc>
        <w:tc>
          <w:tcPr>
            <w:tcW w:type="dxa" w:w="1501"/>
          </w:tcPr>
          <w:p>
            <w:r/>
            <w:r>
              <w:rPr>
                <w:rFonts w:ascii="Calibri" w:hAnsi="Calibri"/>
                <w:b w:val="0"/>
                <w:sz w:val="19"/>
              </w:rPr>
              <w:t>Real-world driving range in this dataset is dictated by vehicle category (550 km Luxury Sedan vs. 105 km Scooter), while battery types average ~324 km across all years.</w:t>
            </w:r>
          </w:p>
        </w:tc>
        <w:tc>
          <w:tcPr>
            <w:tcW w:type="dxa" w:w="2537"/>
          </w:tcPr>
          <w:p>
            <w:r/>
            <w:r>
              <w:rPr>
                <w:rFonts w:ascii="Calibri" w:hAnsi="Calibri"/>
                <w:b w:val="0"/>
                <w:sz w:val="19"/>
              </w:rPr>
              <w:t>Skeptical and cautious about drawing flawed sustainability conclusions without properly scaled visual baselines.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