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Ujjawal Rathod (Individual Capstone)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rPr>
          <w:b/>
          <w:color w:val="0F4C81"/>
          <w:sz w:val="26"/>
        </w:rPr>
        <w:t>Completed Empathy Map Canvas — EV Market Stakeholders</w:t>
      </w:r>
    </w:p>
    <w:p>
      <w:r>
        <w:rPr>
          <w:b/>
          <w:sz w:val="22"/>
        </w:rPr>
        <w:t>Persona 1: Emily Johnson (Market Strategy Director)</w:t>
      </w:r>
    </w:p>
    <w:tbl>
      <w:tblPr>
        <w:tblStyle w:val="TableGrid"/>
        <w:tblW w:type="auto" w:w="0"/>
        <w:jc w:val="center"/>
        <w:tblLook w:firstColumn="1" w:firstRow="1" w:lastColumn="0" w:lastRow="0" w:noHBand="0" w:noVBand="1" w:val="04A0"/>
      </w:tblPr>
      <w:tblGrid>
        <w:gridCol w:w="4513"/>
        <w:gridCol w:w="4513"/>
      </w:tblGrid>
      <w:tr>
        <w:tc>
          <w:tcPr>
            <w:tcW w:type="dxa" w:w="4513"/>
            <w:shd w:fill="DCEEF2"/>
          </w:tcPr>
          <w:p>
            <w:r>
              <w:rPr>
                <w:b/>
              </w:rPr>
            </w:r>
            <w:r>
              <w:rPr>
                <w:rFonts w:ascii="Calibri" w:hAnsi="Calibri"/>
                <w:b w:val="0"/>
                <w:sz w:val="19"/>
              </w:rPr>
              <w:t>SAYS</w:t>
            </w:r>
          </w:p>
          <w:p>
            <w:r>
              <w:rPr>
                <w:rFonts w:ascii="Calibri" w:hAnsi="Calibri"/>
                <w:b w:val="0"/>
                <w:sz w:val="19"/>
              </w:rPr>
              <w:t>• "Which EV vehicle categories are driving our highest annual sales volumes right now?"</w:t>
            </w:r>
          </w:p>
          <w:p>
            <w:r>
              <w:rPr>
                <w:rFonts w:ascii="Calibri" w:hAnsi="Calibri"/>
                <w:b w:val="0"/>
                <w:sz w:val="19"/>
              </w:rPr>
              <w:t>• "We must identify high-growth segments across model years (2018–2026) before allocating our next R&amp;D and marketing budget."</w:t>
            </w:r>
          </w:p>
          <w:p>
            <w:r>
              <w:rPr>
                <w:rFonts w:ascii="Calibri" w:hAnsi="Calibri"/>
                <w:b w:val="0"/>
                <w:sz w:val="19"/>
              </w:rPr>
              <w:t>• "Show me which battery technologies and driving ranges resonate best with satisfied customers."</w:t>
            </w:r>
          </w:p>
        </w:tc>
        <w:tc>
          <w:tcPr>
            <w:tcW w:type="dxa" w:w="4513"/>
            <w:shd w:fill="DCEEF2"/>
          </w:tcPr>
          <w:p>
            <w:r>
              <w:rPr>
                <w:b/>
              </w:rPr>
            </w:r>
            <w:r>
              <w:rPr>
                <w:rFonts w:ascii="Calibri" w:hAnsi="Calibri"/>
                <w:b w:val="0"/>
                <w:sz w:val="19"/>
              </w:rPr>
              <w:t>THINKS</w:t>
            </w:r>
          </w:p>
          <w:p>
            <w:r>
              <w:rPr>
                <w:rFonts w:ascii="Calibri" w:hAnsi="Calibri"/>
                <w:b w:val="0"/>
                <w:sz w:val="19"/>
              </w:rPr>
              <w:t>• Investing heavily in commercial EVs (Electric Bus, Electric Truck, Pickup Truck) without verifying demand vs. Two-Wheeler Scooters and Sedans could waste millions.</w:t>
            </w:r>
          </w:p>
          <w:p>
            <w:r>
              <w:rPr>
                <w:rFonts w:ascii="Calibri" w:hAnsi="Calibri"/>
                <w:b w:val="0"/>
                <w:sz w:val="19"/>
              </w:rPr>
              <w:t>• With 200 manufacturers competing in a fragmented market, guessing trends without data is too risky.</w:t>
            </w:r>
          </w:p>
          <w:p>
            <w:r>
              <w:rPr>
                <w:rFonts w:ascii="Calibri" w:hAnsi="Calibri"/>
                <w:b w:val="0"/>
                <w:sz w:val="19"/>
              </w:rPr>
              <w:t>• Are EV sales climbing steadily year-over-year, or has total volume stabilized across model years?</w:t>
            </w:r>
          </w:p>
        </w:tc>
      </w:tr>
      <w:tr>
        <w:tc>
          <w:tcPr>
            <w:tcW w:type="dxa" w:w="9026"/>
            <w:gridSpan w:val="2"/>
            <w:shd w:fill="EAEAEA"/>
          </w:tcPr>
          <w:p>
            <w:pPr>
              <w:jc w:val="center"/>
            </w:pPr>
            <w:r/>
            <w:r>
              <w:rPr>
                <w:rFonts w:ascii="Calibri" w:hAnsi="Calibri"/>
                <w:b/>
                <w:sz w:val="20"/>
              </w:rPr>
              <w:t>EMILY JOHNSON</w:t>
            </w:r>
          </w:p>
          <w:p>
            <w:pPr>
              <w:jc w:val="center"/>
            </w:pPr>
            <w:r>
              <w:rPr>
                <w:rFonts w:ascii="Calibri" w:hAnsi="Calibri"/>
                <w:b/>
                <w:sz w:val="20"/>
              </w:rPr>
              <w:t>(Market Strategy Director — EV Portfolio &amp; Growth)</w:t>
            </w:r>
          </w:p>
        </w:tc>
      </w:tr>
      <w:tr>
        <w:tc>
          <w:tcPr>
            <w:tcW w:type="dxa" w:w="4513"/>
            <w:shd w:fill="F2E8D5"/>
          </w:tcPr>
          <w:p>
            <w:r>
              <w:rPr>
                <w:b/>
              </w:rPr>
            </w:r>
            <w:r>
              <w:rPr>
                <w:rFonts w:ascii="Calibri" w:hAnsi="Calibri"/>
                <w:b w:val="0"/>
                <w:sz w:val="19"/>
              </w:rPr>
              <w:t>DOES</w:t>
            </w:r>
          </w:p>
          <w:p>
            <w:r>
              <w:rPr>
                <w:rFonts w:ascii="Calibri" w:hAnsi="Calibri"/>
                <w:b w:val="0"/>
                <w:sz w:val="19"/>
              </w:rPr>
              <w:t>• Analyzes multi-year vehicle sales datasets (300,000 unioned records) across 15 vehicle categories and 7 global regions.</w:t>
            </w:r>
          </w:p>
          <w:p>
            <w:r>
              <w:rPr>
                <w:rFonts w:ascii="Calibri" w:hAnsi="Calibri"/>
                <w:b w:val="0"/>
                <w:sz w:val="19"/>
              </w:rPr>
              <w:t>• Compares top-performing manufacturers, driving ranges, and average customer ratings side-by-side.</w:t>
            </w:r>
          </w:p>
          <w:p>
            <w:r>
              <w:rPr>
                <w:rFonts w:ascii="Calibri" w:hAnsi="Calibri"/>
                <w:b w:val="0"/>
                <w:sz w:val="19"/>
              </w:rPr>
              <w:t>• Uses interactive Tableau filters (Market Region, Battery Type, Model Year) to test strategic scenarios for board presentations.</w:t>
            </w:r>
          </w:p>
        </w:tc>
        <w:tc>
          <w:tcPr>
            <w:tcW w:type="dxa" w:w="4513"/>
            <w:shd w:fill="F2E8D5"/>
          </w:tcPr>
          <w:p>
            <w:r>
              <w:rPr>
                <w:b/>
              </w:rPr>
            </w:r>
            <w:r>
              <w:rPr>
                <w:rFonts w:ascii="Calibri" w:hAnsi="Calibri"/>
                <w:b w:val="0"/>
                <w:sz w:val="19"/>
              </w:rPr>
              <w:t>FEELS</w:t>
            </w:r>
          </w:p>
          <w:p>
            <w:r>
              <w:rPr>
                <w:rFonts w:ascii="Calibri" w:hAnsi="Calibri"/>
                <w:b w:val="0"/>
                <w:sz w:val="19"/>
              </w:rPr>
              <w:t>• Overwhelmed by raw CSV files containing 300,000 rows, 37 columns, and missing values in sales and ratings.</w:t>
            </w:r>
          </w:p>
          <w:p>
            <w:r>
              <w:rPr>
                <w:rFonts w:ascii="Calibri" w:hAnsi="Calibri"/>
                <w:b w:val="0"/>
                <w:sz w:val="19"/>
              </w:rPr>
              <w:t>• Pressured to make accurate product-positioning and budget recommendations under tight deadlines.</w:t>
            </w:r>
          </w:p>
          <w:p>
            <w:r>
              <w:rPr>
                <w:rFonts w:ascii="Calibri" w:hAnsi="Calibri"/>
                <w:b w:val="0"/>
                <w:sz w:val="19"/>
              </w:rPr>
              <w:t>• Confident and relieved when using the interactive 9-visual Tableau dashboard and 4-point Story.</w:t>
            </w:r>
          </w:p>
        </w:tc>
      </w:tr>
    </w:tbl>
    <w:p/>
    <w:p>
      <w:r>
        <w:rPr>
          <w:b/>
          <w:sz w:val="22"/>
        </w:rPr>
        <w:t>Persona 2: David Chen (Automotive BI Manager)</w:t>
      </w:r>
    </w:p>
    <w:tbl>
      <w:tblPr>
        <w:tblStyle w:val="TableGrid"/>
        <w:tblW w:type="auto" w:w="0"/>
        <w:jc w:val="center"/>
        <w:tblLook w:firstColumn="1" w:firstRow="1" w:lastColumn="0" w:lastRow="0" w:noHBand="0" w:noVBand="1" w:val="04A0"/>
      </w:tblPr>
      <w:tblGrid>
        <w:gridCol w:w="4513"/>
        <w:gridCol w:w="4513"/>
      </w:tblGrid>
      <w:tr>
        <w:tc>
          <w:tcPr>
            <w:tcW w:type="dxa" w:w="4513"/>
            <w:shd w:fill="DCEEF2"/>
          </w:tcPr>
          <w:p>
            <w:r>
              <w:rPr>
                <w:b/>
              </w:rPr>
            </w:r>
            <w:r>
              <w:rPr>
                <w:rFonts w:ascii="Calibri" w:hAnsi="Calibri"/>
                <w:b w:val="0"/>
                <w:sz w:val="19"/>
              </w:rPr>
              <w:t>SAYS</w:t>
            </w:r>
          </w:p>
          <w:p>
            <w:r>
              <w:rPr>
                <w:rFonts w:ascii="Calibri" w:hAnsi="Calibri"/>
                <w:b w:val="0"/>
                <w:sz w:val="19"/>
              </w:rPr>
              <w:t>• "Who are the Top 10 manufacturers by annual sales, and what is their true share of the global EV market?"</w:t>
            </w:r>
          </w:p>
          <w:p>
            <w:r>
              <w:rPr>
                <w:rFonts w:ascii="Calibri" w:hAnsi="Calibri"/>
                <w:b w:val="0"/>
                <w:sz w:val="19"/>
              </w:rPr>
              <w:t>• "Which countries lead EV manufacturing production, and which battery chemistries dominate market adoption?"</w:t>
            </w:r>
          </w:p>
          <w:p>
            <w:r>
              <w:rPr>
                <w:rFonts w:ascii="Calibri" w:hAnsi="Calibri"/>
                <w:b w:val="0"/>
                <w:sz w:val="19"/>
              </w:rPr>
              <w:t>• "Where are the strongest and weakest regional category opportunities across our 7 global markets?"</w:t>
            </w:r>
          </w:p>
        </w:tc>
        <w:tc>
          <w:tcPr>
            <w:tcW w:type="dxa" w:w="4513"/>
            <w:shd w:fill="DCEEF2"/>
          </w:tcPr>
          <w:p>
            <w:r>
              <w:rPr>
                <w:b/>
              </w:rPr>
            </w:r>
            <w:r>
              <w:rPr>
                <w:rFonts w:ascii="Calibri" w:hAnsi="Calibri"/>
                <w:b w:val="0"/>
                <w:sz w:val="19"/>
              </w:rPr>
              <w:t>THINKS</w:t>
            </w:r>
          </w:p>
          <w:p>
            <w:r>
              <w:rPr>
                <w:rFonts w:ascii="Calibri" w:hAnsi="Calibri"/>
                <w:b w:val="0"/>
                <w:sz w:val="19"/>
              </w:rPr>
              <w:t>• Standard Top-10 filters distort market share by making 10 brands add up to 100% instead of comparing against all 200 manufacturers.</w:t>
            </w:r>
          </w:p>
          <w:p>
            <w:r>
              <w:rPr>
                <w:rFonts w:ascii="Calibri" w:hAnsi="Calibri"/>
                <w:b w:val="0"/>
                <w:sz w:val="19"/>
              </w:rPr>
              <w:t>• Since the top manufacturer (Ampere Works) holds only ~0.59% share, the market is highly fragmented with no single monopoly.</w:t>
            </w:r>
          </w:p>
          <w:p>
            <w:r>
              <w:rPr>
                <w:rFonts w:ascii="Calibri" w:hAnsi="Calibri"/>
                <w:b w:val="0"/>
                <w:sz w:val="19"/>
              </w:rPr>
              <w:t>• Because regional sales totals (~330M per region) are nearly equal, product category mix matters far more than geography alone.</w:t>
            </w:r>
          </w:p>
        </w:tc>
      </w:tr>
      <w:tr>
        <w:tc>
          <w:tcPr>
            <w:tcW w:type="dxa" w:w="9026"/>
            <w:gridSpan w:val="2"/>
            <w:shd w:fill="EAEAEA"/>
          </w:tcPr>
          <w:p>
            <w:pPr>
              <w:jc w:val="center"/>
            </w:pPr>
            <w:r/>
            <w:r>
              <w:rPr>
                <w:rFonts w:ascii="Calibri" w:hAnsi="Calibri"/>
                <w:b/>
                <w:sz w:val="20"/>
              </w:rPr>
              <w:t>DAVID CHEN</w:t>
            </w:r>
          </w:p>
          <w:p>
            <w:pPr>
              <w:jc w:val="center"/>
            </w:pPr>
            <w:r>
              <w:rPr>
                <w:rFonts w:ascii="Calibri" w:hAnsi="Calibri"/>
                <w:b/>
                <w:sz w:val="20"/>
              </w:rPr>
              <w:t>(Automotive BI Manager — Competitive Intelligence)</w:t>
            </w:r>
          </w:p>
        </w:tc>
      </w:tr>
      <w:tr>
        <w:tc>
          <w:tcPr>
            <w:tcW w:type="dxa" w:w="4513"/>
            <w:shd w:fill="F2E8D5"/>
          </w:tcPr>
          <w:p>
            <w:r>
              <w:rPr>
                <w:b/>
              </w:rPr>
            </w:r>
            <w:r>
              <w:rPr>
                <w:rFonts w:ascii="Calibri" w:hAnsi="Calibri"/>
                <w:b w:val="0"/>
                <w:sz w:val="19"/>
              </w:rPr>
              <w:t>DOES</w:t>
            </w:r>
          </w:p>
          <w:p>
            <w:r>
              <w:rPr>
                <w:rFonts w:ascii="Calibri" w:hAnsi="Calibri"/>
                <w:b w:val="0"/>
                <w:sz w:val="19"/>
              </w:rPr>
              <w:t>• Evaluates Top 10 manufacturers using FIXED Level of Detail (LOD) market share calculations in Tableau.</w:t>
            </w:r>
          </w:p>
          <w:p>
            <w:r>
              <w:rPr>
                <w:rFonts w:ascii="Calibri" w:hAnsi="Calibri"/>
                <w:b w:val="0"/>
                <w:sz w:val="19"/>
              </w:rPr>
              <w:t>• Tracks battery technology adoption (NMC at 33.7% and LFP at 32.0% leading over NCA, Sodium-Ion, and Solid-State).</w:t>
            </w:r>
          </w:p>
          <w:p>
            <w:r>
              <w:rPr>
                <w:rFonts w:ascii="Calibri" w:hAnsi="Calibri"/>
                <w:b w:val="0"/>
                <w:sz w:val="19"/>
              </w:rPr>
              <w:t>• Cross-filters the Manufacturing Country Map (10 countries led by China, India, Vietnam) and Region × Category Heatmap.</w:t>
            </w:r>
          </w:p>
        </w:tc>
        <w:tc>
          <w:tcPr>
            <w:tcW w:type="dxa" w:w="4513"/>
            <w:shd w:fill="F2E8D5"/>
          </w:tcPr>
          <w:p>
            <w:r>
              <w:rPr>
                <w:b/>
              </w:rPr>
            </w:r>
            <w:r>
              <w:rPr>
                <w:rFonts w:ascii="Calibri" w:hAnsi="Calibri"/>
                <w:b w:val="0"/>
                <w:sz w:val="19"/>
              </w:rPr>
              <w:t>FEELS</w:t>
            </w:r>
          </w:p>
          <w:p>
            <w:r>
              <w:rPr>
                <w:rFonts w:ascii="Calibri" w:hAnsi="Calibri"/>
                <w:b w:val="0"/>
                <w:sz w:val="19"/>
              </w:rPr>
              <w:t>• Frustrated when basic spreadsheet charts misrepresent fragmented competitor market shares.</w:t>
            </w:r>
          </w:p>
          <w:p>
            <w:r>
              <w:rPr>
                <w:rFonts w:ascii="Calibri" w:hAnsi="Calibri"/>
                <w:b w:val="0"/>
                <w:sz w:val="19"/>
              </w:rPr>
              <w:t>• Analytical and focused on finding data-backed expansion pockets (such as Crossover demand in Asia Pacific at 29.7M).</w:t>
            </w:r>
          </w:p>
          <w:p>
            <w:r>
              <w:rPr>
                <w:rFonts w:ascii="Calibri" w:hAnsi="Calibri"/>
                <w:b w:val="0"/>
                <w:sz w:val="19"/>
              </w:rPr>
              <w:t>• Empowered by click-to-filter map and donut interactivity on the unified Tableau dashboard.</w:t>
            </w:r>
          </w:p>
        </w:tc>
      </w:tr>
    </w:tbl>
    <w:p/>
    <w:p>
      <w:r>
        <w:rPr>
          <w:b/>
          <w:sz w:val="22"/>
        </w:rPr>
        <w:t>Persona 3: Dr. Sarah Williams (Sustainable Mobility Researcher)</w:t>
      </w:r>
    </w:p>
    <w:tbl>
      <w:tblPr>
        <w:tblStyle w:val="TableGrid"/>
        <w:tblW w:type="auto" w:w="0"/>
        <w:jc w:val="center"/>
        <w:tblLook w:firstColumn="1" w:firstRow="1" w:lastColumn="0" w:lastRow="0" w:noHBand="0" w:noVBand="1" w:val="04A0"/>
      </w:tblPr>
      <w:tblGrid>
        <w:gridCol w:w="4513"/>
        <w:gridCol w:w="4513"/>
      </w:tblGrid>
      <w:tr>
        <w:tc>
          <w:tcPr>
            <w:tcW w:type="dxa" w:w="4513"/>
            <w:shd w:fill="DCEEF2"/>
          </w:tcPr>
          <w:p>
            <w:r>
              <w:rPr>
                <w:b/>
              </w:rPr>
            </w:r>
            <w:r>
              <w:rPr>
                <w:rFonts w:ascii="Calibri" w:hAnsi="Calibri"/>
                <w:b w:val="0"/>
                <w:sz w:val="19"/>
              </w:rPr>
              <w:t>SAYS</w:t>
            </w:r>
          </w:p>
          <w:p>
            <w:r>
              <w:rPr>
                <w:rFonts w:ascii="Calibri" w:hAnsi="Calibri"/>
                <w:b w:val="0"/>
                <w:sz w:val="19"/>
              </w:rPr>
              <w:t>• "How does driving range (km) and energy efficiency (Wh/km) compare across all 15 EV vehicle categories?"</w:t>
            </w:r>
          </w:p>
          <w:p>
            <w:r>
              <w:rPr>
                <w:rFonts w:ascii="Calibri" w:hAnsi="Calibri"/>
                <w:b w:val="0"/>
                <w:sz w:val="19"/>
              </w:rPr>
              <w:t>• "Has average driving range improved across model years (2018–2026) for different battery chemistries?"</w:t>
            </w:r>
          </w:p>
          <w:p>
            <w:r>
              <w:rPr>
                <w:rFonts w:ascii="Calibri" w:hAnsi="Calibri"/>
                <w:b w:val="0"/>
                <w:sz w:val="19"/>
              </w:rPr>
              <w:t>• "Does customer satisfaction vary significantly by vehicle category or battery technology?"</w:t>
            </w:r>
          </w:p>
        </w:tc>
        <w:tc>
          <w:tcPr>
            <w:tcW w:type="dxa" w:w="4513"/>
            <w:shd w:fill="DCEEF2"/>
          </w:tcPr>
          <w:p>
            <w:r>
              <w:rPr>
                <w:b/>
              </w:rPr>
            </w:r>
            <w:r>
              <w:rPr>
                <w:rFonts w:ascii="Calibri" w:hAnsi="Calibri"/>
                <w:b w:val="0"/>
                <w:sz w:val="19"/>
              </w:rPr>
              <w:t>THINKS</w:t>
            </w:r>
          </w:p>
          <w:p>
            <w:r>
              <w:rPr>
                <w:rFonts w:ascii="Calibri" w:hAnsi="Calibri"/>
                <w:b w:val="0"/>
                <w:sz w:val="19"/>
              </w:rPr>
              <w:t>• Zoomed-in line chart axes (e.g., 319–329 km) create false visual drama over a tiny 5 km fluctuation.</w:t>
            </w:r>
          </w:p>
          <w:p>
            <w:r>
              <w:rPr>
                <w:rFonts w:ascii="Calibri" w:hAnsi="Calibri"/>
                <w:b w:val="0"/>
                <w:sz w:val="19"/>
              </w:rPr>
              <w:t>• In this dataset, average driving range is driven by vehicle category (Luxury Sedan ~550 km vs. Two-Wheeler Scooter ~105 km), while battery types all average ~324 km.</w:t>
            </w:r>
          </w:p>
          <w:p>
            <w:r>
              <w:rPr>
                <w:rFonts w:ascii="Calibri" w:hAnsi="Calibri"/>
                <w:b w:val="0"/>
                <w:sz w:val="19"/>
              </w:rPr>
              <w:t>• Customer ratings are remarkably uniform (~4.08 to 4.09 out of 5) across all categories.</w:t>
            </w:r>
          </w:p>
        </w:tc>
      </w:tr>
      <w:tr>
        <w:tc>
          <w:tcPr>
            <w:tcW w:type="dxa" w:w="9026"/>
            <w:gridSpan w:val="2"/>
            <w:shd w:fill="EAEAEA"/>
          </w:tcPr>
          <w:p>
            <w:pPr>
              <w:jc w:val="center"/>
            </w:pPr>
            <w:r/>
            <w:r>
              <w:rPr>
                <w:rFonts w:ascii="Calibri" w:hAnsi="Calibri"/>
                <w:b/>
                <w:sz w:val="20"/>
              </w:rPr>
              <w:t>DR. SARAH WILLIAMS</w:t>
            </w:r>
          </w:p>
          <w:p>
            <w:pPr>
              <w:jc w:val="center"/>
            </w:pPr>
            <w:r>
              <w:rPr>
                <w:rFonts w:ascii="Calibri" w:hAnsi="Calibri"/>
                <w:b/>
                <w:sz w:val="20"/>
              </w:rPr>
              <w:t>(Sustainable Mobility Researcher — Battery &amp; Range)</w:t>
            </w:r>
          </w:p>
        </w:tc>
      </w:tr>
      <w:tr>
        <w:tc>
          <w:tcPr>
            <w:tcW w:type="dxa" w:w="4513"/>
            <w:shd w:fill="F2E8D5"/>
          </w:tcPr>
          <w:p>
            <w:r>
              <w:rPr>
                <w:b/>
              </w:rPr>
            </w:r>
            <w:r>
              <w:rPr>
                <w:rFonts w:ascii="Calibri" w:hAnsi="Calibri"/>
                <w:b w:val="0"/>
                <w:sz w:val="19"/>
              </w:rPr>
              <w:t>DOES</w:t>
            </w:r>
          </w:p>
          <w:p>
            <w:r>
              <w:rPr>
                <w:rFonts w:ascii="Calibri" w:hAnsi="Calibri"/>
                <w:b w:val="0"/>
                <w:sz w:val="19"/>
              </w:rPr>
              <w:t>• Examines Average Driving Range by Category colored by Average Efficiency (Wh/km) with a table-wide average reference line.</w:t>
            </w:r>
          </w:p>
          <w:p>
            <w:r>
              <w:rPr>
                <w:rFonts w:ascii="Calibri" w:hAnsi="Calibri"/>
                <w:b w:val="0"/>
                <w:sz w:val="19"/>
              </w:rPr>
              <w:t>• Audits 2018–2026 battery range trends using a zero-anchored axis (0–400 km) for honest scientific reporting.</w:t>
            </w:r>
          </w:p>
          <w:p>
            <w:r>
              <w:rPr>
                <w:rFonts w:ascii="Calibri" w:hAnsi="Calibri"/>
                <w:b w:val="0"/>
                <w:sz w:val="19"/>
              </w:rPr>
              <w:t>• Correlates customer satisfaction ratings (0–5 scale) with battery adoption shares for sustainability planning.</w:t>
            </w:r>
          </w:p>
        </w:tc>
        <w:tc>
          <w:tcPr>
            <w:tcW w:type="dxa" w:w="4513"/>
            <w:shd w:fill="F2E8D5"/>
          </w:tcPr>
          <w:p>
            <w:r>
              <w:rPr>
                <w:b/>
              </w:rPr>
            </w:r>
            <w:r>
              <w:rPr>
                <w:rFonts w:ascii="Calibri" w:hAnsi="Calibri"/>
                <w:b w:val="0"/>
                <w:sz w:val="19"/>
              </w:rPr>
              <w:t>FEELS</w:t>
            </w:r>
          </w:p>
          <w:p>
            <w:r>
              <w:rPr>
                <w:rFonts w:ascii="Calibri" w:hAnsi="Calibri"/>
                <w:b w:val="0"/>
                <w:sz w:val="19"/>
              </w:rPr>
              <w:t>• Skeptical of exaggerated or poorly scaled visual charts that mislead sustainability policymakers.</w:t>
            </w:r>
          </w:p>
          <w:p>
            <w:r>
              <w:rPr>
                <w:rFonts w:ascii="Calibri" w:hAnsi="Calibri"/>
                <w:b w:val="0"/>
                <w:sz w:val="19"/>
              </w:rPr>
              <w:t>• Curious about why emerging chemistries (Solid-State at ~7%, Sodium-Ion at ~9.9%) show similar average ranges to NMC/LFP in current data.</w:t>
            </w:r>
          </w:p>
          <w:p>
            <w:r>
              <w:rPr>
                <w:rFonts w:ascii="Calibri" w:hAnsi="Calibri"/>
                <w:b w:val="0"/>
                <w:sz w:val="19"/>
              </w:rPr>
              <w:t>• Satisfied that the dashboard presents transparent, properly scaled metrics.</w:t>
            </w:r>
          </w:p>
        </w:tc>
      </w:tr>
    </w:tbl>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