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4C81"/>
          <w:sz w:val="30"/>
        </w:rPr>
        <w:t>Requirement Analysis Phase</w:t>
        <w:br/>
        <w:t>Customer Journey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3F4F6"/>
          </w:tcPr>
          <w:p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28 October 2026</w:t>
            </w:r>
          </w:p>
        </w:tc>
      </w:tr>
      <w:tr>
        <w:tc>
          <w:tcPr>
            <w:tcW w:type="dxa" w:w="5256"/>
            <w:shd w:fill="F3F4F6"/>
          </w:tcPr>
          <w:p>
            <w:r/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Ujjawal Rathod (Individual Capstone)</w:t>
            </w:r>
          </w:p>
        </w:tc>
      </w:tr>
      <w:tr>
        <w:tc>
          <w:tcPr>
            <w:tcW w:type="dxa" w:w="5256"/>
            <w:shd w:fill="F3F4F6"/>
          </w:tcPr>
          <w:p>
            <w:r/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Electric Vehicle Market Performance &amp; Insights</w:t>
            </w:r>
          </w:p>
        </w:tc>
      </w:tr>
      <w:tr>
        <w:tc>
          <w:tcPr>
            <w:tcW w:type="dxa" w:w="5256"/>
            <w:shd w:fill="F3F4F6"/>
          </w:tcPr>
          <w:p>
            <w:r/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20"/>
              </w:rPr>
              <w:t>2 Marks</w:t>
            </w:r>
          </w:p>
        </w:tc>
      </w:tr>
    </w:tbl>
    <w:p/>
    <w:p>
      <w:r>
        <w:rPr>
          <w:sz w:val="20"/>
        </w:rPr>
        <w:t>Customer Journey Map: Maps out the stakeholder experience stage-by-stage across our three EV personas (Emily Johnson, David Chen, and Dr. Sarah Williams), capturing their actions, touchpoints, thoughts, feelings, process ownership, and improvement opportunities.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0F4C8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Phase of Journey</w:t>
            </w:r>
          </w:p>
        </w:tc>
        <w:tc>
          <w:tcPr>
            <w:tcW w:type="dxa" w:w="2102"/>
            <w:shd w:fill="0F4C8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Stage 1: Raw Data Exploration &amp; Problem Identification</w:t>
            </w:r>
          </w:p>
        </w:tc>
        <w:tc>
          <w:tcPr>
            <w:tcW w:type="dxa" w:w="2102"/>
            <w:shd w:fill="0F4C8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Stage 2: KPI &amp; Visual Discovery (9 Tableau Worksheets)</w:t>
            </w:r>
          </w:p>
        </w:tc>
        <w:tc>
          <w:tcPr>
            <w:tcW w:type="dxa" w:w="2102"/>
            <w:shd w:fill="0F4C8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Stage 3: Interactive Dashboard Cross-Filtering</w:t>
            </w:r>
          </w:p>
        </w:tc>
        <w:tc>
          <w:tcPr>
            <w:tcW w:type="dxa" w:w="2102"/>
            <w:shd w:fill="0F4C81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Stage 4: Executive Storytelling &amp; Web Portal Access</w:t>
            </w:r>
          </w:p>
        </w:tc>
      </w:tr>
      <w:tr>
        <w:tc>
          <w:tcPr>
            <w:tcW w:type="dxa" w:w="2102"/>
            <w:shd w:fill="E0F2FE"/>
          </w:tcPr>
          <w:p>
            <w:r/>
            <w:r>
              <w:rPr>
                <w:rFonts w:ascii="Calibri" w:hAnsi="Calibri"/>
                <w:b/>
                <w:sz w:val="18"/>
              </w:rPr>
              <w:t>Actions</w:t>
            </w:r>
          </w:p>
          <w:p>
            <w:r>
              <w:rPr>
                <w:rFonts w:ascii="Calibri" w:hAnsi="Calibri"/>
                <w:b/>
                <w:sz w:val="18"/>
              </w:rPr>
              <w:t>(What does the customer do?)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Attempts to inspect ev_market_train.csv (200k rows) and ev_market_test.csv (100k rows) across 37 columns to find sales, range, and competitor trends.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Explores individual visual sheets (V1–V9) covering category sales, Top 10 manufacturers, model year trends, battery tech share, range, map, ratings, and heatmap.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Uses global filters (Market Region, Battery Type, Model Year) and click-to-filter actions on the Map (V7), Battery Donut (V4), and Category Bars (V1).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Navigates the 4-point Tableau Story (Overview, Emily, David, Dr. Sarah) embedded inside the deployed Flask web application on Vercel.</w:t>
            </w:r>
          </w:p>
        </w:tc>
      </w:tr>
      <w:tr>
        <w:tc>
          <w:tcPr>
            <w:tcW w:type="dxa" w:w="2102"/>
            <w:shd w:fill="E0F2FE"/>
          </w:tcPr>
          <w:p>
            <w:r/>
            <w:r>
              <w:rPr>
                <w:rFonts w:ascii="Calibri" w:hAnsi="Calibri"/>
                <w:b/>
                <w:sz w:val="18"/>
              </w:rPr>
              <w:t>Touchpoint</w:t>
            </w:r>
          </w:p>
          <w:p>
            <w:r>
              <w:rPr>
                <w:rFonts w:ascii="Calibri" w:hAnsi="Calibri"/>
                <w:b/>
                <w:sz w:val="18"/>
              </w:rPr>
              <w:t>(What part of the service do they interact with?)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Raw CSV files and Tableau Data Source canvas (300,000-row Union).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Tableau Public Worksheets V1 to V9 with custom FIXED LOD calculations and zero-anchored axes.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EV Market Dashboard (3×3 tiled grid layout, 1400×1500 px) on Tableau Public.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4-Point Tableau Story &amp; Live Flask Web App (index.html + app.py hosted on Vercel).</w:t>
            </w:r>
          </w:p>
        </w:tc>
      </w:tr>
      <w:tr>
        <w:tc>
          <w:tcPr>
            <w:tcW w:type="dxa" w:w="2102"/>
            <w:shd w:fill="E0F2FE"/>
          </w:tcPr>
          <w:p>
            <w:r/>
            <w:r>
              <w:rPr>
                <w:rFonts w:ascii="Calibri" w:hAnsi="Calibri"/>
                <w:b/>
                <w:sz w:val="18"/>
              </w:rPr>
              <w:t>Customer Thought</w:t>
            </w:r>
          </w:p>
          <w:p>
            <w:r>
              <w:rPr>
                <w:rFonts w:ascii="Calibri" w:hAnsi="Calibri"/>
                <w:b/>
                <w:sz w:val="18"/>
              </w:rPr>
              <w:t>(What is the customer thinking?)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"There are 300,000 rows, 200 manufacturers, and missing values in sales (~1%) and ratings (~2%)—how do we extract reliable answers quickly?"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"Two-Wheeler Scooter leads sales, Ampere Works holds ~0.59% share in a fragmented market, and range depends on category (550 km vs. 105 km), not battery type (~324 km)."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"Clicking a country or battery slice updates all 9 charts in 1–2 seconds, letting me compare regional product positioning immediately."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"Having dedicated persona views and a single Vercel web link makes presenting to the board effortless."</w:t>
            </w:r>
          </w:p>
        </w:tc>
      </w:tr>
      <w:tr>
        <w:tc>
          <w:tcPr>
            <w:tcW w:type="dxa" w:w="2102"/>
            <w:shd w:fill="E0F2FE"/>
          </w:tcPr>
          <w:p>
            <w:r/>
            <w:r>
              <w:rPr>
                <w:rFonts w:ascii="Calibri" w:hAnsi="Calibri"/>
                <w:b/>
                <w:sz w:val="18"/>
              </w:rPr>
              <w:t>Customer Feeling</w:t>
            </w:r>
          </w:p>
          <w:p>
            <w:r>
              <w:rPr>
                <w:rFonts w:ascii="Calibri" w:hAnsi="Calibri"/>
                <w:b/>
                <w:sz w:val="18"/>
              </w:rPr>
              <w:t>(What is the customer feeling?)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Overwhelmed, frustrated, and hesitant to make high-stakes decisions from raw spreadsheets.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Curious, engaged, and reassured by accurate FIXED LOD market shares and honest axis scaling.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Empowered, in control, and analytical while testing regional and technology scenarios.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Confident, satisfied, and ready to execute data-backed strategic decisions.</w:t>
            </w:r>
          </w:p>
        </w:tc>
      </w:tr>
      <w:tr>
        <w:tc>
          <w:tcPr>
            <w:tcW w:type="dxa" w:w="2102"/>
            <w:shd w:fill="E0F2FE"/>
          </w:tcPr>
          <w:p>
            <w:r/>
            <w:r>
              <w:rPr>
                <w:rFonts w:ascii="Calibri" w:hAnsi="Calibri"/>
                <w:b/>
                <w:sz w:val="18"/>
              </w:rPr>
              <w:t>Process Ownership</w:t>
            </w:r>
          </w:p>
          <w:p>
            <w:r>
              <w:rPr>
                <w:rFonts w:ascii="Calibri" w:hAnsi="Calibri"/>
                <w:b/>
                <w:sz w:val="18"/>
              </w:rPr>
              <w:t>(Who is in the lead on this?)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Data Analyst / BI Developer (Ujjawal Rathod) — Data ingestion, Union setup, and schema validation.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BI Developer (Ujjawal Rathod) — Designing V1–V9 visuals, FIXED LOD formulas, and reference lines.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BI Developer &amp; Stakeholders (Emily Johnson, David Chen, Dr. Sarah Williams) — Interactive filtering.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Web/BI Developer (Ujjawal Rathod) &amp; Executive Stakeholders — Story presentation and Vercel deployment.</w:t>
            </w:r>
          </w:p>
        </w:tc>
      </w:tr>
      <w:tr>
        <w:tc>
          <w:tcPr>
            <w:tcW w:type="dxa" w:w="2102"/>
            <w:shd w:fill="E0F2FE"/>
          </w:tcPr>
          <w:p>
            <w:r/>
            <w:r>
              <w:rPr>
                <w:rFonts w:ascii="Calibri" w:hAnsi="Calibri"/>
                <w:b/>
                <w:sz w:val="18"/>
              </w:rPr>
              <w:t>Opportunities</w:t>
            </w:r>
          </w:p>
          <w:p>
            <w:r>
              <w:rPr>
                <w:rFonts w:ascii="Calibri" w:hAnsi="Calibri"/>
                <w:b/>
                <w:sz w:val="18"/>
              </w:rPr>
              <w:t>(How can we improve this stage?)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 CSV unioning and document null handling (Tableau automatically excludes nulls in SUM/AVG).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Use {FIXED : SUM([Annual Sales Units])} for true market share and anchor V6/V8 axes at 0 to prevent distortion.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Remove duplicate gradient legends and cell label clutter (###) in the V9 heatmap for clean readability.</w:t>
            </w:r>
          </w:p>
        </w:tc>
        <w:tc>
          <w:tcPr>
            <w:tcW w:type="dxa" w:w="2102"/>
          </w:tcPr>
          <w:p>
            <w:r/>
            <w:r>
              <w:rPr>
                <w:rFonts w:ascii="Calibri" w:hAnsi="Calibri"/>
                <w:b w:val="0"/>
                <w:sz w:val="18"/>
              </w:rPr>
              <w:t>Embed both the Dashboard and Story in a responsive Flask web portal deployed on Vercel for 24/7 browser access.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