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Ujjawal Rathod (Individual Capstone)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Data Access &amp; Integration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Connect to and union ev_market_train.csv (200,000 rows) and ev_market_test.csv (100,000 rows) in Tableau Public to create a unified 300,000-row dataset across 37 attributes (including Vehicle ID, Manufacturer, Model Year, Category, Battery Type, Range Km, Efficiency Wh/Km, Customer Rating, Market Region, and Manufacturing Country).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Data Processing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Configure data types and roles: convert Model Year to Discrete dimension (2018–2026), assign Geographic Role (Country/Region) to Manufacturing Country, aggregate Range Km, Efficiency Wh/Km, and Customer Rating using Average, and allow Tableau to naturally exclude nulls (~1% in annual_sales_units, ~2% in customer_rating) without distorting calculations.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Business Analysis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Compute core analytical KPIs and custom fields: Total Sales = SUM([Annual Sales Units]), Sales (Millions), Percent of Total for Battery Tech Share, Distinct Count of Vehicle ID for production volume, and a FIXED Level of Detail expression SUM([Annual Sales Units]) / MIN({FIXED : SUM([Annual Sales Units])}) to measure true Top 10 Manufacturer Market Share across all 200 manufacturers.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Business Insights &amp; Analytical Outputs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Deliver 9 purpose-built worksheets (V1–V9), a unified 3×3 EV Market Dashboard (1400×1500 px), 3 persona mini-dashboards (Emily - Strategy, David - Competitive, Dr. Sarah - Research), and a 4-point interactive Tableau Story with data-backed insight captions.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User Interaction &amp; Analysis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Provide global multi-select dropdown/slider filters for Market Region, Battery Type, and Model Year applied to all worksheets using the data source, alongside interactive click-to-filter actions on V1 (Category Bars), V4 (Battery Donut), and V7 (Manufacturing Country Map).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6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Data Update &amp; Reporting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Publish the packaged analytical workbook (300k rows embedded) to Tableau Public and integrate the live Dashboard and Story iframes into a Python Flask web application (app.py + index.html) deployed publicly on Vercel and documented on GitHub.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Medium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NFR-1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Usability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Intuitive 3×3 tiled dashboard layout (1400×1500 px) and 4-point Story navigator with clear titles, millions (M) number formatting, non-overlapping legends, and zero-anchored axes (0–400 km on V6, 0–5 on V8) to prevent visual misinterpretation.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NFR-2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Security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Read-only public visualization access hosted over HTTPS via Tableau Public and Vercel cloud infrastructure, ensuring underlying raw CSV records cannot be altered or overwritten by end users.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NFR-3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Reliability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Accurate aggregation across 300,000 rows where missing values (~1% in sales, ~2% in ratings) are safely ignored by Tableau's SUM/AVG engine, and Top-10 market share remains mathematically accurate via FIXED LOD expressions.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NFR-4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Performance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Initial dashboard and story load time under 3 seconds for 300,000 records, with interactive global filters and click-to-filter actions updating all 9 visuals within 1 to 2 seconds.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NFR-5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Availability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24/7 global browser availability through Tableau Public cloud servers and serverless Python Flask hosting on Vercel, accessible across desktop and mobile browsers without local software installation.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/>
            <w:r>
              <w:rPr>
                <w:rFonts w:ascii="Calibri" w:hAnsi="Calibri"/>
                <w:b/>
                <w:sz w:val="19"/>
              </w:rPr>
              <w:t>NFR-6</w:t>
            </w:r>
          </w:p>
        </w:tc>
        <w:tc>
          <w:tcPr/>
          <w:p>
            <w:r/>
            <w:r>
              <w:rPr>
                <w:rFonts w:ascii="Calibri" w:hAnsi="Calibri"/>
                <w:b/>
                <w:sz w:val="19"/>
              </w:rPr>
              <w:t>Scalability</w:t>
            </w:r>
          </w:p>
        </w:tc>
        <w:tc>
          <w:tcPr/>
          <w:p>
            <w:r/>
            <w:r>
              <w:rPr>
                <w:rFonts w:ascii="Calibri" w:hAnsi="Calibri"/>
                <w:b w:val="0"/>
                <w:sz w:val="19"/>
              </w:rPr>
              <w:t>Wildcard/manual union architecture and modular Flask template design allow seamless ingestion of additional model years, regions, or EV datasets beyond 300,000 rows without redesigning the schema.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