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spacing w:before="0" w:after="0"/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9"/>
              </w:rPr>
              <w:t>28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spacing w:before="0" w:after="0"/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9"/>
              </w:rPr>
              <w:t>Individual Project - Ujjawal Rathod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spacing w:before="0" w:after="0"/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9"/>
              </w:rPr>
              <w:t>Electric Vehicle Market Performance &amp; Insights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spacing w:before="0" w:after="0"/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spacing w:before="0" w:after="0"/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p>
      <w:pPr>
        <w:pageBreakBefore/>
        <w:jc w:val="center"/>
      </w:pPr>
      <w:r>
        <w:rPr>
          <w:b/>
          <w:color w:val="23507D"/>
          <w:sz w:val="32"/>
        </w:rPr>
        <w:t>Completed Problem-Solution Fit Canvas</w:t>
      </w:r>
    </w:p>
    <w:p>
      <w:pPr>
        <w:spacing w:after="160"/>
      </w:pPr>
      <w:r>
        <w:t>Project-specific details expanded from the canvas on the previous page for easier reading.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tblHeader w:val="true"/>
        </w:trPr>
        <w:tc>
          <w:tcPr>
            <w:tcW w:type="dxa" w:w="4513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Canvas element</w:t>
            </w:r>
          </w:p>
        </w:tc>
        <w:tc>
          <w:tcPr>
            <w:tcW w:type="dxa" w:w="4513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Project-specific content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Customer segments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Market strategy directors and product planners; automotive BI and competitor-intelligence teams; sustainable-mobility and battery researchers.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Jobs-to-be-done / problems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Identify leading EV categories and model-year trends; compare manufacturers, market share, battery mix, driving range, customer ratings and regional patterns; turn large datasets into evidence for decisions.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Triggers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Budget and portfolio reviews, product-planning cycles, market expansion questions, or requests to justify category and battery-technology priorities.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 Emotions: before / after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Before: overwhelmed by raw spreadsheets and unsure how to compare segments consistently. After: more confident because key measures and trends are available in a shared, interactive view.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 Available solutions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Raw CSV files, spreadsheet filters and pivot tables, separate static charts, and public reports. These approaches often require repeated manual work and offer limited coordinated cross-filtering.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6. Customer constraints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dataset contains about 300,000 records and 37 columns; the market includes about 200 manufacturers; comparison quality depends on consistent field definitions, filter behavior and market-share denominators.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 Behaviour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Users explore model years, market regions and battery types; compare categories and manufacturers; and use dashboards, reports and presentations to explain findings and recommendations.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 Channels of behaviour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Online: Tableau Public dashboard and Story, Flask portal deployed on Vercel, GitHub repository and project documentation. Offline: stakeholder review meetings, class presentations, project demonstrations and planning discussions.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9. Problem root cause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two CSV sources need to be brought into a common analysis view; multiple dimensions must be compared together; and static reporting can hide the effect of filters or inconsistent denominator logic.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10. Your solution</w:t>
            </w:r>
          </w:p>
        </w:tc>
        <w:tc>
          <w:tcPr>
            <w:tcW w:type="dxa" w:w="4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Combine the two CSV sources into a 300,000-row, 37-column dataset; present nine interactive Tableau visualizations and a persona-driven Story; apply FIXED LOD market-share logic; provide region, battery-type and model-year filters; and embed the Tableau experience in a Flask web portal deployed on Vercel.</w:t>
            </w:r>
          </w:p>
        </w:tc>
      </w:tr>
    </w:tbl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- Electric Vehicle Market Performance &amp; Insights</dc:title>
  <dc:subject>Electric Vehicle Market Performance &amp; Insights</dc:subject>
  <dc:creator>Ujjawal Rathod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