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vAlign w:val="center"/>
          </w:tcPr>
          <w:p>
            <w:pPr>
              <w:spacing w:after="40" w:before="20" w:line="240" w:lineRule="auto"/>
            </w:pPr>
            <w:r/>
            <w:r>
              <w:rPr>
                <w:b w:val="0"/>
                <w:sz w:val="19"/>
              </w:rPr>
              <w:t>28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pPr>
              <w:spacing w:after="40" w:before="20" w:line="240" w:lineRule="auto"/>
            </w:pPr>
            <w:r/>
            <w:r>
              <w:rPr>
                <w:b w:val="0"/>
                <w:sz w:val="19"/>
              </w:rPr>
              <w:t>Individual Project - Ujjawal Rathod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pPr>
              <w:spacing w:after="40" w:before="20" w:line="240" w:lineRule="auto"/>
            </w:pPr>
            <w:r/>
            <w:r>
              <w:rPr>
                <w:b w:val="0"/>
                <w:sz w:val="19"/>
              </w:rPr>
              <w:t>Electric Vehicle Market Performance &amp; Insights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Solution Architecture:</w:t>
      </w:r>
    </w:p>
    <w:p w:rsidR="00000000" w:rsidDel="00000000" w:rsidP="00000000" w:rsidRDefault="00000000" w:rsidRPr="00000000" w14:paraId="0000000E">
      <w:pPr>
        <w:shd w:fill="ffffff" w:val="clear"/>
        <w:spacing w:after="375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Solution architecture is a complex process – with many sub-processes – that bridges the gap between business problems and technology solutions. Its goals are to: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150" w:before="28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Find the best tech solution to solve existing business problems.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15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Describe the structure, characteristics, behavior, and other aspects of the software to project stakeholders.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15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Define features, development phases, and solution requirements.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15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Provide specifications according to which the solution is defined, managed, and delivered.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>
        <w:rPr>
          <w:b/>
        </w:rPr>
        <w:t>EV Market Analytics Architecture:</w:t>
      </w:r>
    </w:p>
    <w:p w:rsidR="00000000" w:rsidDel="00000000" w:rsidP="00000000" w:rsidRDefault="00000000" w:rsidRPr="00000000" w14:paraId="00000015">
      <w:pPr>
        <w:tabs>
          <w:tab w:val="left" w:leader="none" w:pos="5529"/>
        </w:tabs>
        <w:ind w:left="2160" w:firstLine="0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2914650" cy="4065101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7066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4065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 Description Table</w:t>
      </w:r>
    </w:p>
    <w:sdt>
      <w:sdtPr>
        <w:lock w:val="contentLocked"/>
        <w:id w:val="-439335461"/>
        <w:tag w:val="goog_rdk_0"/>
      </w:sdtPr>
      <w:sdtContent>
        <w:tbl>
          <w:tblPr>
            <w:tblStyle w:val="Table2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010"/>
            <w:gridCol w:w="3990"/>
            <w:gridCol w:w="3000"/>
            <w:tblGridChange w:id="0">
              <w:tblGrid>
                <w:gridCol w:w="2010"/>
                <w:gridCol w:w="3990"/>
                <w:gridCol w:w="30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  <w:shd w:fill="1F4E78"/>
              </w:tcPr>
              <w:p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>
                  <w:rPr>
                    <w:rFonts w:ascii="Arial" w:hAnsi="Arial"/>
                    <w:sz w:val="17"/>
                    <w:b/>
                    <w:color w:val="FFFFFF"/>
                  </w:rPr>
                  <w:t xml:space="preserve">Component Name</w:t>
                </w:r>
              </w:p>
            </w:tc>
            <w:tc>
              <w:tcPr>
                <w:shd w:fill="1F4E7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>
                  <w:rPr>
                    <w:rFonts w:ascii="Arial" w:hAnsi="Arial"/>
                    <w:sz w:val="17"/>
                    <w:b/>
                    <w:color w:val="FFFFFF"/>
                  </w:rPr>
                  <w:t xml:space="preserve">Description / Role in Architecture</w:t>
                </w:r>
              </w:p>
            </w:tc>
            <w:tc>
              <w:tcPr>
                <w:shd w:fill="1F4E7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>
                  <w:rPr>
                    <w:rFonts w:ascii="Arial" w:hAnsi="Arial"/>
                    <w:sz w:val="17"/>
                    <w:b/>
                    <w:color w:val="FFFFFF"/>
                  </w:rPr>
                  <w:t xml:space="preserve">Technology Used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>
                  <w:rPr>
                    <w:rFonts w:ascii="Arial" w:hAnsi="Arial"/>
                    <w:sz w:val="16"/>
                    <w:b/>
                    <w:color w:val="142337"/>
                  </w:rPr>
                  <w:t xml:space="preserve">Data sources and integration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>
                  <w:rPr>
                    <w:rFonts w:ascii="Arial" w:hAnsi="Arial"/>
                    <w:sz w:val="16"/>
                    <w:color w:val="142337"/>
                  </w:rPr>
                  <w:t xml:space="preserve">Combines the training and test CSV sources into one analysis dataset of about 300,000 records and 37 columns.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>
                  <w:rPr>
                    <w:rFonts w:ascii="Arial" w:hAnsi="Arial"/>
                    <w:sz w:val="16"/>
                    <w:color w:val="142337"/>
                  </w:rPr>
                  <w:t xml:space="preserve">CSV files; Tableau data connection / union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>
                  <w:rPr>
                    <w:rFonts w:ascii="Arial" w:hAnsi="Arial"/>
                    <w:sz w:val="16"/>
                    <w:b/>
                    <w:color w:val="142337"/>
                  </w:rPr>
                  <w:t xml:space="preserve">Data preparation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>
                  <w:rPr>
                    <w:rFonts w:ascii="Arial" w:hAnsi="Arial"/>
                    <w:sz w:val="16"/>
                    <w:color w:val="142337"/>
                  </w:rPr>
                  <w:t xml:space="preserve">Organizes dimensions and measures for consistent comparisons and checks the fields selected for analysis.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>
                  <w:rPr>
                    <w:rFonts w:ascii="Arial" w:hAnsi="Arial"/>
                    <w:sz w:val="16"/>
                    <w:color w:val="142337"/>
                  </w:rPr>
                  <w:t xml:space="preserve">Tableau data pane; calculated fields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>
                  <w:rPr>
                    <w:rFonts w:ascii="Arial" w:hAnsi="Arial"/>
                    <w:sz w:val="16"/>
                    <w:b/>
                    <w:color w:val="142337"/>
                  </w:rPr>
                  <w:t xml:space="preserve">Analytics and calculations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>
                  <w:rPr>
                    <w:rFonts w:ascii="Arial" w:hAnsi="Arial"/>
                    <w:sz w:val="16"/>
                    <w:color w:val="142337"/>
                  </w:rPr>
                  <w:t xml:space="preserve">Supports sales, category, model-year, manufacturer, battery, range, ratings and geography analysis. FIXED LOD logic is used for manufacturer market share.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>
                  <w:rPr>
                    <w:rFonts w:ascii="Arial" w:hAnsi="Arial"/>
                    <w:sz w:val="16"/>
                    <w:color w:val="142337"/>
                  </w:rPr>
                  <w:t xml:space="preserve">Tableau calculated fields; FIXED LOD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>
                  <w:rPr>
                    <w:rFonts w:ascii="Arial" w:hAnsi="Arial"/>
                    <w:sz w:val="16"/>
                    <w:b/>
                    <w:color w:val="142337"/>
                  </w:rPr>
                  <w:t xml:space="preserve">Interactive dashboard controls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>
                  <w:rPr>
                    <w:rFonts w:ascii="Arial" w:hAnsi="Arial"/>
                    <w:sz w:val="16"/>
                    <w:color w:val="142337"/>
                  </w:rPr>
                  <w:t xml:space="preserve">Enables exploration by market region, battery type and model year; dashboard actions connect related visualizations.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>
                  <w:rPr>
                    <w:rFonts w:ascii="Arial" w:hAnsi="Arial"/>
                    <w:sz w:val="16"/>
                    <w:color w:val="142337"/>
                  </w:rPr>
                  <w:t xml:space="preserve">Tableau filters and dashboard actions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>
                  <w:rPr>
                    <w:rFonts w:ascii="Arial" w:hAnsi="Arial"/>
                    <w:sz w:val="16"/>
                    <w:b/>
                    <w:color w:val="142337"/>
                  </w:rPr>
                  <w:t xml:space="preserve">Dashboards and Story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>
                  <w:rPr>
                    <w:rFonts w:ascii="Arial" w:hAnsi="Arial"/>
                    <w:sz w:val="16"/>
                    <w:color w:val="142337"/>
                  </w:rPr>
                  <w:t xml:space="preserve">Presents nine visualizations and a four-point Story with persona-focused views for market strategy, automotive BI and sustainability research.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>
                  <w:rPr>
                    <w:rFonts w:ascii="Arial" w:hAnsi="Arial"/>
                    <w:sz w:val="16"/>
                    <w:color w:val="142337"/>
                  </w:rPr>
                  <w:t xml:space="preserve">Tableau Public/Desktop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>
                  <w:rPr>
                    <w:rFonts w:ascii="Arial" w:hAnsi="Arial"/>
                    <w:sz w:val="16"/>
                    <w:b/>
                    <w:color w:val="142337"/>
                  </w:rPr>
                  <w:t xml:space="preserve">Web portal and deployment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>
                  <w:rPr>
                    <w:rFonts w:ascii="Arial" w:hAnsi="Arial"/>
                    <w:sz w:val="16"/>
                    <w:color w:val="142337"/>
                  </w:rPr>
                  <w:t xml:space="preserve">Embeds the Tableau Public dashboard and Story in a responsive web application so reviewers can access the analytics in a browser.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>
                  <w:rPr>
                    <w:rFonts w:ascii="Arial" w:hAnsi="Arial"/>
                    <w:sz w:val="16"/>
                    <w:color w:val="142337"/>
                  </w:rPr>
                  <w:t xml:space="preserve">Python Flask; HTML/CSS; Vercel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>
                  <w:rPr>
                    <w:rFonts w:ascii="Arial" w:hAnsi="Arial"/>
                    <w:sz w:val="16"/>
                    <w:b/>
                    <w:color w:val="142337"/>
                  </w:rPr>
                  <w:t xml:space="preserve">Version control and documentation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>
                  <w:rPr>
                    <w:rFonts w:ascii="Arial" w:hAnsi="Arial"/>
                    <w:sz w:val="16"/>
                    <w:color w:val="142337"/>
                  </w:rPr>
                  <w:t xml:space="preserve">Maintains source code and project documentation for review and final submission.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>
                  <w:rPr>
                    <w:rFonts w:ascii="Arial" w:hAnsi="Arial"/>
                    <w:sz w:val="16"/>
                    <w:color w:val="142337"/>
                  </w:rPr>
                  <w:t xml:space="preserve">Git; GitHub repository</w:t>
                </w:r>
              </w:p>
            </w:tc>
          </w:tr>
        </w:tbl>
      </w:sdtContent>
    </w:sdt>
    <w:sectPr>
      <w:headerReference r:id="rId8" w:type="default"/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6553200</wp:posOffset>
          </wp:positionH>
          <wp:positionV relativeFrom="page">
            <wp:posOffset>239913</wp:posOffset>
          </wp:positionV>
          <wp:extent cx="864691" cy="395288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76200</wp:posOffset>
          </wp:positionH>
          <wp:positionV relativeFrom="page">
            <wp:posOffset>144663</wp:posOffset>
          </wp:positionV>
          <wp:extent cx="1376363" cy="589870"/>
          <wp:effectExtent b="0" l="0" r="0" t="0"/>
          <wp:wrapNone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9067B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 w:val="1"/>
    <w:rsid w:val="008E20B8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kzLwCLXBqfgnFrwvmWhfF8j69Q==">CgMxLjAaHwoBMBIaChgICVIUChJ0YWJsZS5hcTFjZTE5ZmY4dHM4AHIhMXZzTEYwOHlxOEhxWnRKT05LektVLVNTNGdOcGdjczVO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2022-10-03T08:27:00Z</dcterms:created>
  <dc:creator>Ujjawal Rathod</dc:creator>
  <dc:title>Solution Architecture - Electric Vehicle Market Performance &amp; Insights</dc:title>
  <dc:subject>Electric Vehicle Market Performance &amp; Insights</dc:subject>
</cp:coreProperties>
</file>