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29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Individual Project — Ujjawal Rathod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hAnsi="Calibri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ev_market_train.csv (200,000 rows) + ev_market_test.csv (100,000 rows) unioned into one data source: 300,000 rows × 37 columns, 15 vehicle categories, 200 manufacturers, 7 market regions, 10 manufacturing countries, model years 2018–2026.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Data Source tab showing the Union and 300,000 rows]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• Unioned train and test files (Specific/Wildcard union) and verified 300,000 rows.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Data types checked: model_year set to Number (whole) → Discrete; sales, range, rating, price fields as numeric measures; market_region, category, battery_type, manufacturer as strings.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manufacturing_country assigned Geographic Role &gt; Country/Region (10 countries mapped).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Null check: annual_sales_units ≈ 1% nulls, customer_rating ≈ 2% nulls; battery_cycle_life and resale_value_pct_3yr also contain nulls. Tableau ignores nulls in SUM/AVG, so values were kept and documented.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• Duplicate check: 1 duplicate vehicle_id found out of 300,000 rows – negligible, retained.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Data Source grid / data types]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Dashboard filters (applied to all worksheets using this data source): Market Region, Model Year, Battery Type, Category.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Worksheet filters: Top 10 Manufacturer by Sum of Annual Sales Units (V2); Top 5 Category (V3).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Interactive filter actions: V7 (country map), V4 (battery donut) and V1 (category bars) set to 'Use as Filter' to cross-filter the other visuals.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dashboard with filter panel]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Calibri" w:hAnsi="Calibri"/>
                <w:b w:val="0"/>
                <w:i w:val="0"/>
                <w:sz w:val="20"/>
              </w:rPr>
              <w:t>1. Total Sales = SUM([Annual Sales Units])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2. Sales (Millions) = SUM([Annual Sales Units]) / 1000000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3. Market Share % = SUM([Annual Sales Units]) / MIN({ FIXED : SUM([Annual Sales Units]) })  — FIXED LOD so market share stays relative to all 200 manufacturers when the Top 10 filter is applied.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Quick table calculations: Percent of Total (V4 battery share), Percent Difference (V3 growth view).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Calculated field editor for Market Share %]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 (V1–V9): V1 Annual sales by category; V2 Top 10 manufacturers &amp; market share; V3 Sales trend by model year; V4 Battery type share; V5 Average range by category; V6 Range by battery type over years; V7 Manufacturing country map; V8 Customer rating by category; V9 Region × category heatmap.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final dashboard]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story points – Overview dashboard + one point per persona: Emily Johnson (V1–V3), David Chen (V2, V4, V7, V9), Dr. Sarah Williams (V4, V5, V6, V8); each with a caption stating the key insight. Together the story covers all 9 visualizations.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0"/>
                <w:highlight w:val="yellow"/>
              </w:rPr>
              <w:t>[Insert screenshot: Story view]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