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4968"/>
          </w:tcPr>
          <w:p>
            <w:r>
              <w:drawing>
                <wp:inline xmlns:a="http://schemas.openxmlformats.org/drawingml/2006/main" xmlns:pic="http://schemas.openxmlformats.org/drawingml/2006/picture">
                  <wp:extent cx="1371600" cy="652229"/>
                  <wp:docPr id="1" name="Picture 1"/>
                  <wp:cNvGraphicFramePr>
                    <a:graphicFrameLocks noChangeAspect="1"/>
                  </wp:cNvGraphicFramePr>
                  <a:graphic>
                    <a:graphicData uri="http://schemas.openxmlformats.org/drawingml/2006/picture">
                      <pic:pic>
                        <pic:nvPicPr>
                          <pic:cNvPr id="0" name="smartbridge.png"/>
                          <pic:cNvPicPr/>
                        </pic:nvPicPr>
                        <pic:blipFill>
                          <a:blip r:embed="rId9"/>
                          <a:stretch>
                            <a:fillRect/>
                          </a:stretch>
                        </pic:blipFill>
                        <pic:spPr>
                          <a:xfrm>
                            <a:off x="0" y="0"/>
                            <a:ext cx="1371600" cy="652229"/>
                          </a:xfrm>
                          <a:prstGeom prst="rect"/>
                        </pic:spPr>
                      </pic:pic>
                    </a:graphicData>
                  </a:graphic>
                </wp:inline>
              </w:drawing>
            </w:r>
          </w:p>
        </w:tc>
        <w:tc>
          <w:tcPr>
            <w:tcW w:type="dxa" w:w="4968"/>
          </w:tcPr>
          <w:p>
            <w:pPr>
              <w:jc w:val="right"/>
            </w:pPr>
            <w:r>
              <w:drawing>
                <wp:inline xmlns:a="http://schemas.openxmlformats.org/drawingml/2006/main" xmlns:pic="http://schemas.openxmlformats.org/drawingml/2006/picture">
                  <wp:extent cx="1188720" cy="548998"/>
                  <wp:docPr id="2" name="Picture 2"/>
                  <wp:cNvGraphicFramePr>
                    <a:graphicFrameLocks noChangeAspect="1"/>
                  </wp:cNvGraphicFramePr>
                  <a:graphic>
                    <a:graphicData uri="http://schemas.openxmlformats.org/drawingml/2006/picture">
                      <pic:pic>
                        <pic:nvPicPr>
                          <pic:cNvPr id="0" name="skillwallet.png"/>
                          <pic:cNvPicPr/>
                        </pic:nvPicPr>
                        <pic:blipFill>
                          <a:blip r:embed="rId10"/>
                          <a:stretch>
                            <a:fillRect/>
                          </a:stretch>
                        </pic:blipFill>
                        <pic:spPr>
                          <a:xfrm>
                            <a:off x="0" y="0"/>
                            <a:ext cx="1188720" cy="548998"/>
                          </a:xfrm>
                          <a:prstGeom prst="rect"/>
                        </pic:spPr>
                      </pic:pic>
                    </a:graphicData>
                  </a:graphic>
                </wp:inline>
              </w:drawing>
            </w:r>
          </w:p>
        </w:tc>
      </w:tr>
    </w:tbl>
    <w:p>
      <w:pPr>
        <w:spacing w:before="200"/>
        <w:jc w:val="center"/>
      </w:pPr>
      <w:r>
        <w:rPr>
          <w:b/>
          <w:sz w:val="30"/>
        </w:rPr>
        <w:t>Scalability &amp; Future Plan</w:t>
      </w:r>
    </w:p>
    <w:tbl>
      <w:tblPr>
        <w:tblStyle w:val="TableGrid"/>
        <w:tblW w:type="auto" w:w="0"/>
        <w:tblLook w:firstColumn="1" w:firstRow="1" w:lastColumn="0" w:lastRow="0" w:noHBand="0" w:noVBand="1" w:val="04A0"/>
      </w:tblPr>
      <w:tblGrid>
        <w:gridCol w:w="4968"/>
        <w:gridCol w:w="4968"/>
      </w:tblGrid>
      <w:tr>
        <w:tc>
          <w:tcPr>
            <w:tcW w:type="dxa" w:w="2592"/>
          </w:tcPr>
          <w:p>
            <w:pPr>
              <w:spacing w:after="40"/>
            </w:pPr>
            <w:r>
              <w:rPr>
                <w:b/>
                <w:sz w:val="18"/>
              </w:rPr>
              <w:t>Date</w:t>
            </w:r>
          </w:p>
        </w:tc>
        <w:tc>
          <w:tcPr>
            <w:tcW w:type="dxa" w:w="7200"/>
          </w:tcPr>
          <w:p>
            <w:pPr>
              <w:spacing w:after="40"/>
            </w:pPr>
            <w:r>
              <w:rPr>
                <w:b w:val="0"/>
                <w:sz w:val="18"/>
              </w:rPr>
              <w:t>29 October 2026</w:t>
            </w:r>
          </w:p>
        </w:tc>
      </w:tr>
      <w:tr>
        <w:tc>
          <w:tcPr>
            <w:tcW w:type="dxa" w:w="2592"/>
          </w:tcPr>
          <w:p>
            <w:pPr>
              <w:spacing w:after="40"/>
            </w:pPr>
            <w:r>
              <w:rPr>
                <w:b/>
                <w:sz w:val="18"/>
              </w:rPr>
              <w:t>Team ID</w:t>
            </w:r>
          </w:p>
        </w:tc>
        <w:tc>
          <w:tcPr>
            <w:tcW w:type="dxa" w:w="7200"/>
          </w:tcPr>
          <w:p>
            <w:pPr>
              <w:spacing w:after="40"/>
            </w:pPr>
            <w:r>
              <w:rPr>
                <w:b w:val="0"/>
                <w:sz w:val="18"/>
              </w:rPr>
              <w:t>Individual Project — Ujjawal Rathod</w:t>
            </w:r>
          </w:p>
        </w:tc>
      </w:tr>
      <w:tr>
        <w:tc>
          <w:tcPr>
            <w:tcW w:type="dxa" w:w="2592"/>
          </w:tcPr>
          <w:p>
            <w:pPr>
              <w:spacing w:after="40"/>
            </w:pPr>
            <w:r>
              <w:rPr>
                <w:b/>
                <w:sz w:val="18"/>
              </w:rPr>
              <w:t>Project Name</w:t>
            </w:r>
          </w:p>
        </w:tc>
        <w:tc>
          <w:tcPr>
            <w:tcW w:type="dxa" w:w="7200"/>
          </w:tcPr>
          <w:p>
            <w:pPr>
              <w:spacing w:after="40"/>
            </w:pPr>
            <w:r>
              <w:rPr>
                <w:b w:val="0"/>
                <w:sz w:val="18"/>
              </w:rPr>
              <w:t>Electric Vehicle Market Performance &amp; Insights</w:t>
            </w:r>
          </w:p>
        </w:tc>
      </w:tr>
      <w:tr>
        <w:tc>
          <w:tcPr>
            <w:tcW w:type="dxa" w:w="2592"/>
          </w:tcPr>
          <w:p>
            <w:pPr>
              <w:spacing w:after="40"/>
            </w:pPr>
            <w:r>
              <w:rPr>
                <w:b/>
                <w:sz w:val="18"/>
              </w:rPr>
              <w:t>Maximum Marks</w:t>
            </w:r>
          </w:p>
        </w:tc>
        <w:tc>
          <w:tcPr>
            <w:tcW w:type="dxa" w:w="7200"/>
          </w:tcPr>
          <w:p>
            <w:pPr>
              <w:spacing w:after="40"/>
            </w:pPr>
            <w:r>
              <w:rPr>
                <w:b w:val="0"/>
                <w:sz w:val="18"/>
              </w:rPr>
              <w:t>1 Mark</w:t>
            </w:r>
          </w:p>
        </w:tc>
      </w:tr>
    </w:tbl>
    <w:p>
      <w:pPr>
        <w:spacing w:before="280"/>
      </w:pPr>
      <w:r>
        <w:rPr>
          <w:b/>
          <w:sz w:val="22"/>
        </w:rPr>
        <w:t>Scalability &amp; Future Plan:</w:t>
      </w:r>
    </w:p>
    <w:p>
      <w:pPr>
        <w:spacing w:after="120"/>
      </w:pPr>
      <w:r>
        <w:t>This document outlines how the current project solution can be scaled to handle larger user bases, increased data loads, or extended features in the future. It also captures the team's roadmap for enhancing and evolving the project beyond its current state.</w:t>
      </w:r>
    </w:p>
    <w:p>
      <w:pPr>
        <w:spacing w:before="280"/>
      </w:pPr>
      <w:r>
        <w:rPr>
          <w:b/>
          <w:sz w:val="22"/>
        </w:rPr>
        <w:t>Current System Limitations:</w:t>
      </w:r>
    </w:p>
    <w:tbl>
      <w:tblPr>
        <w:tblStyle w:val="TableGrid"/>
        <w:tblW w:type="auto" w:w="0"/>
        <w:tblLayout w:type="fixed"/>
        <w:tblLook w:firstColumn="1" w:firstRow="1" w:lastColumn="0" w:lastRow="0" w:noHBand="0" w:noVBand="1" w:val="04A0"/>
      </w:tblPr>
      <w:tblGrid>
        <w:gridCol w:w="720"/>
        <w:gridCol w:w="3888"/>
        <w:gridCol w:w="3311"/>
        <w:gridCol w:w="1872"/>
      </w:tblGrid>
      <w:tr>
        <w:tc>
          <w:tcPr>
            <w:tcW w:type="dxa" w:w="720"/>
          </w:tcPr>
          <w:p>
            <w:pPr>
              <w:spacing w:after="40"/>
            </w:pPr>
            <w:r>
              <w:rPr>
                <w:b/>
                <w:sz w:val="18"/>
              </w:rPr>
              <w:t>S.No</w:t>
            </w:r>
          </w:p>
        </w:tc>
        <w:tc>
          <w:tcPr>
            <w:tcW w:type="dxa" w:w="3888"/>
          </w:tcPr>
          <w:p>
            <w:pPr>
              <w:spacing w:after="40"/>
            </w:pPr>
            <w:r>
              <w:rPr>
                <w:b/>
                <w:sz w:val="18"/>
              </w:rPr>
              <w:t>Limitation</w:t>
            </w:r>
          </w:p>
        </w:tc>
        <w:tc>
          <w:tcPr>
            <w:tcW w:type="dxa" w:w="3312"/>
          </w:tcPr>
          <w:p>
            <w:pPr>
              <w:spacing w:after="40"/>
            </w:pPr>
            <w:r>
              <w:rPr>
                <w:b/>
                <w:sz w:val="18"/>
              </w:rPr>
              <w:t>Impact</w:t>
            </w:r>
          </w:p>
        </w:tc>
        <w:tc>
          <w:tcPr>
            <w:tcW w:type="dxa" w:w="1872"/>
          </w:tcPr>
          <w:p>
            <w:pPr>
              <w:spacing w:after="40"/>
            </w:pPr>
            <w:r>
              <w:rPr>
                <w:b/>
                <w:sz w:val="18"/>
              </w:rPr>
              <w:t>Priority to Address (High / Medium / Low)</w:t>
            </w:r>
          </w:p>
        </w:tc>
      </w:tr>
      <w:tr>
        <w:tc>
          <w:tcPr>
            <w:tcW w:type="dxa" w:w="720"/>
          </w:tcPr>
          <w:p>
            <w:pPr>
              <w:spacing w:after="40"/>
            </w:pPr>
            <w:r>
              <w:rPr>
                <w:b w:val="0"/>
                <w:sz w:val="18"/>
              </w:rPr>
              <w:t>1</w:t>
            </w:r>
          </w:p>
        </w:tc>
        <w:tc>
          <w:tcPr>
            <w:tcW w:type="dxa" w:w="3888"/>
          </w:tcPr>
          <w:p>
            <w:pPr>
              <w:spacing w:after="40"/>
            </w:pPr>
            <w:r>
              <w:rPr>
                <w:b w:val="0"/>
                <w:sz w:val="18"/>
              </w:rPr>
              <w:t>Data is a static 300,000-row extract; it does not refresh automatically</w:t>
            </w:r>
          </w:p>
        </w:tc>
        <w:tc>
          <w:tcPr>
            <w:tcW w:type="dxa" w:w="3312"/>
          </w:tcPr>
          <w:p>
            <w:pPr>
              <w:spacing w:after="40"/>
            </w:pPr>
            <w:r>
              <w:rPr>
                <w:b w:val="0"/>
                <w:sz w:val="18"/>
              </w:rPr>
              <w:t>Insights go out of date as new market data appears</w:t>
            </w:r>
          </w:p>
        </w:tc>
        <w:tc>
          <w:tcPr>
            <w:tcW w:type="dxa" w:w="1872"/>
          </w:tcPr>
          <w:p>
            <w:pPr>
              <w:spacing w:after="40"/>
            </w:pPr>
            <w:r>
              <w:rPr>
                <w:b w:val="0"/>
                <w:sz w:val="18"/>
              </w:rPr>
              <w:t>High</w:t>
            </w:r>
          </w:p>
        </w:tc>
      </w:tr>
      <w:tr>
        <w:tc>
          <w:tcPr>
            <w:tcW w:type="dxa" w:w="720"/>
          </w:tcPr>
          <w:p>
            <w:pPr>
              <w:spacing w:after="40"/>
            </w:pPr>
            <w:r>
              <w:rPr>
                <w:b w:val="0"/>
                <w:sz w:val="18"/>
              </w:rPr>
              <w:t>2</w:t>
            </w:r>
          </w:p>
        </w:tc>
        <w:tc>
          <w:tcPr>
            <w:tcW w:type="dxa" w:w="3888"/>
          </w:tcPr>
          <w:p>
            <w:pPr>
              <w:spacing w:after="40"/>
            </w:pPr>
            <w:r>
              <w:rPr>
                <w:b w:val="0"/>
                <w:sz w:val="18"/>
              </w:rPr>
              <w:t>Analysis is descriptive only; there is no forecasting or prediction (for example resale value or battery degradation)</w:t>
            </w:r>
          </w:p>
        </w:tc>
        <w:tc>
          <w:tcPr>
            <w:tcW w:type="dxa" w:w="3312"/>
          </w:tcPr>
          <w:p>
            <w:pPr>
              <w:spacing w:after="40"/>
            </w:pPr>
            <w:r>
              <w:rPr>
                <w:b w:val="0"/>
                <w:sz w:val="18"/>
              </w:rPr>
              <w:t>Stakeholders cannot plan for future sales or prices</w:t>
            </w:r>
          </w:p>
        </w:tc>
        <w:tc>
          <w:tcPr>
            <w:tcW w:type="dxa" w:w="1872"/>
          </w:tcPr>
          <w:p>
            <w:pPr>
              <w:spacing w:after="40"/>
            </w:pPr>
            <w:r>
              <w:rPr>
                <w:b w:val="0"/>
                <w:sz w:val="18"/>
              </w:rPr>
              <w:t>Medium</w:t>
            </w:r>
          </w:p>
        </w:tc>
      </w:tr>
      <w:tr>
        <w:tc>
          <w:tcPr>
            <w:tcW w:type="dxa" w:w="720"/>
          </w:tcPr>
          <w:p>
            <w:pPr>
              <w:spacing w:after="40"/>
            </w:pPr>
            <w:r>
              <w:rPr>
                <w:b w:val="0"/>
                <w:sz w:val="18"/>
              </w:rPr>
              <w:t>3</w:t>
            </w:r>
          </w:p>
        </w:tc>
        <w:tc>
          <w:tcPr>
            <w:tcW w:type="dxa" w:w="3888"/>
          </w:tcPr>
          <w:p>
            <w:pPr>
              <w:spacing w:after="40"/>
            </w:pPr>
            <w:r>
              <w:rPr>
                <w:b w:val="0"/>
                <w:sz w:val="18"/>
              </w:rPr>
              <w:t>Dashboard is public on Tableau Public and the web app depends on its embed; there is no login or access control</w:t>
            </w:r>
          </w:p>
        </w:tc>
        <w:tc>
          <w:tcPr>
            <w:tcW w:type="dxa" w:w="3312"/>
          </w:tcPr>
          <w:p>
            <w:pPr>
              <w:spacing w:after="40"/>
            </w:pPr>
            <w:r>
              <w:rPr>
                <w:b w:val="0"/>
                <w:sz w:val="18"/>
              </w:rPr>
              <w:t>Not suitable for confidential data; the app is affected if the embed is unavailable</w:t>
            </w:r>
          </w:p>
        </w:tc>
        <w:tc>
          <w:tcPr>
            <w:tcW w:type="dxa" w:w="1872"/>
          </w:tcPr>
          <w:p>
            <w:pPr>
              <w:spacing w:after="40"/>
            </w:pPr>
            <w:r>
              <w:rPr>
                <w:b w:val="0"/>
                <w:sz w:val="18"/>
              </w:rPr>
              <w:t>Medium</w:t>
            </w:r>
          </w:p>
        </w:tc>
      </w:tr>
    </w:tbl>
    <w:p>
      <w:pPr>
        <w:spacing w:before="280"/>
      </w:pPr>
      <w:r>
        <w:rPr>
          <w:b/>
          <w:sz w:val="22"/>
        </w:rPr>
        <w:t>Scalability Plan:</w:t>
      </w:r>
    </w:p>
    <w:tbl>
      <w:tblPr>
        <w:tblStyle w:val="TableGrid"/>
        <w:tblW w:type="auto" w:w="0"/>
        <w:tblLayout w:type="fixed"/>
        <w:tblLook w:firstColumn="1" w:firstRow="1" w:lastColumn="0" w:lastRow="0" w:noHBand="0" w:noVBand="1" w:val="04A0"/>
      </w:tblPr>
      <w:tblGrid>
        <w:gridCol w:w="720"/>
        <w:gridCol w:w="1872"/>
        <w:gridCol w:w="3311"/>
        <w:gridCol w:w="3888"/>
      </w:tblGrid>
      <w:tr>
        <w:tc>
          <w:tcPr>
            <w:tcW w:type="dxa" w:w="720"/>
          </w:tcPr>
          <w:p>
            <w:pPr>
              <w:spacing w:after="40"/>
            </w:pPr>
            <w:r>
              <w:rPr>
                <w:b/>
                <w:sz w:val="18"/>
              </w:rPr>
              <w:t>S.No</w:t>
            </w:r>
          </w:p>
        </w:tc>
        <w:tc>
          <w:tcPr>
            <w:tcW w:type="dxa" w:w="1872"/>
          </w:tcPr>
          <w:p>
            <w:pPr>
              <w:spacing w:after="40"/>
            </w:pPr>
            <w:r>
              <w:rPr>
                <w:b/>
                <w:sz w:val="18"/>
              </w:rPr>
              <w:t>Scalability Aspect</w:t>
            </w:r>
          </w:p>
        </w:tc>
        <w:tc>
          <w:tcPr>
            <w:tcW w:type="dxa" w:w="3312"/>
          </w:tcPr>
          <w:p>
            <w:pPr>
              <w:spacing w:after="40"/>
            </w:pPr>
            <w:r>
              <w:rPr>
                <w:b/>
                <w:sz w:val="18"/>
              </w:rPr>
              <w:t>Current State</w:t>
            </w:r>
          </w:p>
        </w:tc>
        <w:tc>
          <w:tcPr>
            <w:tcW w:type="dxa" w:w="3888"/>
          </w:tcPr>
          <w:p>
            <w:pPr>
              <w:spacing w:after="40"/>
            </w:pPr>
            <w:r>
              <w:rPr>
                <w:b/>
                <w:sz w:val="18"/>
              </w:rPr>
              <w:t>Proposed Upgrade / Solution</w:t>
            </w:r>
          </w:p>
        </w:tc>
      </w:tr>
      <w:tr>
        <w:tc>
          <w:tcPr>
            <w:tcW w:type="dxa" w:w="720"/>
          </w:tcPr>
          <w:p>
            <w:pPr>
              <w:spacing w:after="40"/>
            </w:pPr>
            <w:r>
              <w:rPr>
                <w:b w:val="0"/>
                <w:sz w:val="18"/>
              </w:rPr>
              <w:t>1</w:t>
            </w:r>
          </w:p>
        </w:tc>
        <w:tc>
          <w:tcPr>
            <w:tcW w:type="dxa" w:w="1872"/>
          </w:tcPr>
          <w:p>
            <w:pPr>
              <w:spacing w:after="40"/>
            </w:pPr>
            <w:r>
              <w:rPr>
                <w:b w:val="0"/>
                <w:sz w:val="18"/>
              </w:rPr>
              <w:t>User Load</w:t>
            </w:r>
          </w:p>
        </w:tc>
        <w:tc>
          <w:tcPr>
            <w:tcW w:type="dxa" w:w="3312"/>
          </w:tcPr>
          <w:p>
            <w:pPr>
              <w:spacing w:after="40"/>
            </w:pPr>
            <w:r>
              <w:rPr>
                <w:b w:val="0"/>
                <w:sz w:val="18"/>
              </w:rPr>
              <w:t>Flask app on Vercel embedding a public Tableau dashboard; suitable for a small number of viewers</w:t>
            </w:r>
          </w:p>
        </w:tc>
        <w:tc>
          <w:tcPr>
            <w:tcW w:type="dxa" w:w="3888"/>
          </w:tcPr>
          <w:p>
            <w:pPr>
              <w:spacing w:after="40"/>
            </w:pPr>
            <w:r>
              <w:rPr>
                <w:b w:val="0"/>
                <w:sz w:val="18"/>
              </w:rPr>
              <w:t>Move to Tableau Cloud or Server for managed capacity; use Vercel caching/CDN for the web app</w:t>
            </w:r>
          </w:p>
        </w:tc>
      </w:tr>
      <w:tr>
        <w:tc>
          <w:tcPr>
            <w:tcW w:type="dxa" w:w="720"/>
          </w:tcPr>
          <w:p>
            <w:pPr>
              <w:spacing w:after="40"/>
            </w:pPr>
            <w:r>
              <w:rPr>
                <w:b w:val="0"/>
                <w:sz w:val="18"/>
              </w:rPr>
              <w:t>2</w:t>
            </w:r>
          </w:p>
        </w:tc>
        <w:tc>
          <w:tcPr>
            <w:tcW w:type="dxa" w:w="1872"/>
          </w:tcPr>
          <w:p>
            <w:pPr>
              <w:spacing w:after="40"/>
            </w:pPr>
            <w:r>
              <w:rPr>
                <w:b w:val="0"/>
                <w:sz w:val="18"/>
              </w:rPr>
              <w:t>Data Storage</w:t>
            </w:r>
          </w:p>
        </w:tc>
        <w:tc>
          <w:tcPr>
            <w:tcW w:type="dxa" w:w="3312"/>
          </w:tcPr>
          <w:p>
            <w:pPr>
              <w:spacing w:after="40"/>
            </w:pPr>
            <w:r>
              <w:rPr>
                <w:b w:val="0"/>
                <w:sz w:val="18"/>
              </w:rPr>
              <w:t>CSV files combined into a Tableau extract (300,000 rows × 37 columns)</w:t>
            </w:r>
          </w:p>
        </w:tc>
        <w:tc>
          <w:tcPr>
            <w:tcW w:type="dxa" w:w="3888"/>
          </w:tcPr>
          <w:p>
            <w:pPr>
              <w:spacing w:after="40"/>
            </w:pPr>
            <w:r>
              <w:rPr>
                <w:b w:val="0"/>
                <w:sz w:val="18"/>
              </w:rPr>
              <w:t>Store data in a cloud data warehouse (for example Snowflake or BigQuery) with scheduled refresh</w:t>
            </w:r>
          </w:p>
        </w:tc>
      </w:tr>
      <w:tr>
        <w:tc>
          <w:tcPr>
            <w:tcW w:type="dxa" w:w="720"/>
          </w:tcPr>
          <w:p>
            <w:pPr>
              <w:spacing w:after="40"/>
            </w:pPr>
            <w:r>
              <w:rPr>
                <w:b w:val="0"/>
                <w:sz w:val="18"/>
              </w:rPr>
              <w:t>3</w:t>
            </w:r>
          </w:p>
        </w:tc>
        <w:tc>
          <w:tcPr>
            <w:tcW w:type="dxa" w:w="1872"/>
          </w:tcPr>
          <w:p>
            <w:pPr>
              <w:spacing w:after="40"/>
            </w:pPr>
            <w:r>
              <w:rPr>
                <w:b w:val="0"/>
                <w:sz w:val="18"/>
              </w:rPr>
              <w:t>Performance</w:t>
            </w:r>
          </w:p>
        </w:tc>
        <w:tc>
          <w:tcPr>
            <w:tcW w:type="dxa" w:w="3312"/>
          </w:tcPr>
          <w:p>
            <w:pPr>
              <w:spacing w:after="40"/>
            </w:pPr>
            <w:r>
              <w:rPr>
                <w:b w:val="0"/>
                <w:sz w:val="18"/>
              </w:rPr>
              <w:t>Filters and cross-filtering respond in about 1–2 seconds using an extract</w:t>
            </w:r>
          </w:p>
        </w:tc>
        <w:tc>
          <w:tcPr>
            <w:tcW w:type="dxa" w:w="3888"/>
          </w:tcPr>
          <w:p>
            <w:pPr>
              <w:spacing w:after="40"/>
            </w:pPr>
            <w:r>
              <w:rPr>
                <w:b w:val="0"/>
                <w:sz w:val="18"/>
              </w:rPr>
              <w:t>Pre-aggregate large tables, limit marks per view and monitor with Tableau performance recording</w:t>
            </w:r>
          </w:p>
        </w:tc>
      </w:tr>
      <w:tr>
        <w:tc>
          <w:tcPr>
            <w:tcW w:type="dxa" w:w="720"/>
          </w:tcPr>
          <w:p>
            <w:pPr>
              <w:spacing w:after="40"/>
            </w:pPr>
            <w:r>
              <w:rPr>
                <w:b w:val="0"/>
                <w:sz w:val="18"/>
              </w:rPr>
              <w:t>4</w:t>
            </w:r>
          </w:p>
        </w:tc>
        <w:tc>
          <w:tcPr>
            <w:tcW w:type="dxa" w:w="1872"/>
          </w:tcPr>
          <w:p>
            <w:pPr>
              <w:spacing w:after="40"/>
            </w:pPr>
            <w:r>
              <w:rPr>
                <w:b w:val="0"/>
                <w:sz w:val="18"/>
              </w:rPr>
              <w:t>Security</w:t>
            </w:r>
          </w:p>
        </w:tc>
        <w:tc>
          <w:tcPr>
            <w:tcW w:type="dxa" w:w="3312"/>
          </w:tcPr>
          <w:p>
            <w:pPr>
              <w:spacing w:after="40"/>
            </w:pPr>
            <w:r>
              <w:rPr>
                <w:b w:val="0"/>
                <w:sz w:val="18"/>
              </w:rPr>
              <w:t>Public Tableau Public link, no authentication</w:t>
            </w:r>
          </w:p>
        </w:tc>
        <w:tc>
          <w:tcPr>
            <w:tcW w:type="dxa" w:w="3888"/>
          </w:tcPr>
          <w:p>
            <w:pPr>
              <w:spacing w:after="40"/>
            </w:pPr>
            <w:r>
              <w:rPr>
                <w:b w:val="0"/>
                <w:sz w:val="18"/>
              </w:rPr>
              <w:t>Private dashboards, user logins and role-based views; no confidential data on public servers</w:t>
            </w:r>
          </w:p>
        </w:tc>
      </w:tr>
    </w:tbl>
    <w:p>
      <w:pPr>
        <w:spacing w:before="280"/>
      </w:pPr>
      <w:r>
        <w:rPr>
          <w:b/>
          <w:sz w:val="22"/>
        </w:rPr>
        <w:t>Future Roadmap:</w:t>
      </w:r>
    </w:p>
    <w:tbl>
      <w:tblPr>
        <w:tblStyle w:val="TableGrid"/>
        <w:tblW w:type="auto" w:w="0"/>
        <w:tblLayout w:type="fixed"/>
        <w:tblLook w:firstColumn="1" w:firstRow="1" w:lastColumn="0" w:lastRow="0" w:noHBand="0" w:noVBand="1" w:val="04A0"/>
      </w:tblPr>
      <w:tblGrid>
        <w:gridCol w:w="1152"/>
        <w:gridCol w:w="3744"/>
        <w:gridCol w:w="2015"/>
        <w:gridCol w:w="2880"/>
      </w:tblGrid>
      <w:tr>
        <w:tc>
          <w:tcPr>
            <w:tcW w:type="dxa" w:w="1152"/>
          </w:tcPr>
          <w:p>
            <w:pPr>
              <w:spacing w:after="40"/>
            </w:pPr>
            <w:r>
              <w:rPr>
                <w:b/>
                <w:sz w:val="18"/>
              </w:rPr>
              <w:t>Phase</w:t>
            </w:r>
          </w:p>
        </w:tc>
        <w:tc>
          <w:tcPr>
            <w:tcW w:type="dxa" w:w="3744"/>
          </w:tcPr>
          <w:p>
            <w:pPr>
              <w:spacing w:after="40"/>
            </w:pPr>
            <w:r>
              <w:rPr>
                <w:b/>
                <w:sz w:val="18"/>
              </w:rPr>
              <w:t>Planned Feature / Enhancement</w:t>
            </w:r>
          </w:p>
        </w:tc>
        <w:tc>
          <w:tcPr>
            <w:tcW w:type="dxa" w:w="2016"/>
          </w:tcPr>
          <w:p>
            <w:pPr>
              <w:spacing w:after="40"/>
            </w:pPr>
            <w:r>
              <w:rPr>
                <w:b/>
                <w:sz w:val="18"/>
              </w:rPr>
              <w:t>Target Timeline</w:t>
            </w:r>
          </w:p>
        </w:tc>
        <w:tc>
          <w:tcPr>
            <w:tcW w:type="dxa" w:w="2880"/>
          </w:tcPr>
          <w:p>
            <w:pPr>
              <w:spacing w:after="40"/>
            </w:pPr>
            <w:r>
              <w:rPr>
                <w:b/>
                <w:sz w:val="18"/>
              </w:rPr>
              <w:t>Expected Impact</w:t>
            </w:r>
          </w:p>
        </w:tc>
      </w:tr>
      <w:tr>
        <w:tc>
          <w:tcPr>
            <w:tcW w:type="dxa" w:w="1152"/>
          </w:tcPr>
          <w:p>
            <w:pPr>
              <w:spacing w:after="40"/>
            </w:pPr>
            <w:r>
              <w:rPr>
                <w:b w:val="0"/>
                <w:sz w:val="18"/>
              </w:rPr>
              <w:t>Phase 2</w:t>
            </w:r>
          </w:p>
        </w:tc>
        <w:tc>
          <w:tcPr>
            <w:tcW w:type="dxa" w:w="3744"/>
          </w:tcPr>
          <w:p>
            <w:pPr>
              <w:spacing w:after="40"/>
            </w:pPr>
            <w:r>
              <w:rPr>
                <w:b w:val="0"/>
                <w:sz w:val="18"/>
              </w:rPr>
              <w:t>Connect to a live data source or warehouse with automatic refresh</w:t>
            </w:r>
          </w:p>
        </w:tc>
        <w:tc>
          <w:tcPr>
            <w:tcW w:type="dxa" w:w="2016"/>
          </w:tcPr>
          <w:p>
            <w:pPr>
              <w:spacing w:after="40"/>
            </w:pPr>
            <w:r>
              <w:rPr>
                <w:b w:val="0"/>
                <w:sz w:val="18"/>
              </w:rPr>
              <w:t>Within 1–2 months</w:t>
            </w:r>
          </w:p>
        </w:tc>
        <w:tc>
          <w:tcPr>
            <w:tcW w:type="dxa" w:w="2880"/>
          </w:tcPr>
          <w:p>
            <w:pPr>
              <w:spacing w:after="40"/>
            </w:pPr>
            <w:r>
              <w:rPr>
                <w:b w:val="0"/>
                <w:sz w:val="18"/>
              </w:rPr>
              <w:t>Always up-to-date insights without manual extract updates</w:t>
            </w:r>
          </w:p>
        </w:tc>
      </w:tr>
      <w:tr>
        <w:tc>
          <w:tcPr>
            <w:tcW w:type="dxa" w:w="1152"/>
          </w:tcPr>
          <w:p>
            <w:pPr>
              <w:spacing w:after="40"/>
            </w:pPr>
            <w:r>
              <w:rPr>
                <w:b w:val="0"/>
                <w:sz w:val="18"/>
              </w:rPr>
              <w:t>Phase 3</w:t>
            </w:r>
          </w:p>
        </w:tc>
        <w:tc>
          <w:tcPr>
            <w:tcW w:type="dxa" w:w="3744"/>
          </w:tcPr>
          <w:p>
            <w:pPr>
              <w:spacing w:after="40"/>
            </w:pPr>
            <w:r>
              <w:rPr>
                <w:b w:val="0"/>
                <w:sz w:val="18"/>
              </w:rPr>
              <w:t>Machine learning models for resale value, battery degradation and sales forecasting</w:t>
            </w:r>
          </w:p>
        </w:tc>
        <w:tc>
          <w:tcPr>
            <w:tcW w:type="dxa" w:w="2016"/>
          </w:tcPr>
          <w:p>
            <w:pPr>
              <w:spacing w:after="40"/>
            </w:pPr>
            <w:r>
              <w:rPr>
                <w:b w:val="0"/>
                <w:sz w:val="18"/>
              </w:rPr>
              <w:t>Within 3–4 months</w:t>
            </w:r>
          </w:p>
        </w:tc>
        <w:tc>
          <w:tcPr>
            <w:tcW w:type="dxa" w:w="2880"/>
          </w:tcPr>
          <w:p>
            <w:pPr>
              <w:spacing w:after="40"/>
            </w:pPr>
            <w:r>
              <w:rPr>
                <w:b w:val="0"/>
                <w:sz w:val="18"/>
              </w:rPr>
              <w:t>Move from descriptive to predictive decision support</w:t>
            </w:r>
          </w:p>
        </w:tc>
      </w:tr>
      <w:tr>
        <w:tc>
          <w:tcPr>
            <w:tcW w:type="dxa" w:w="1152"/>
          </w:tcPr>
          <w:p>
            <w:pPr>
              <w:spacing w:after="40"/>
            </w:pPr>
            <w:r>
              <w:rPr>
                <w:b w:val="0"/>
                <w:sz w:val="18"/>
              </w:rPr>
              <w:t>Phase 4</w:t>
            </w:r>
          </w:p>
        </w:tc>
        <w:tc>
          <w:tcPr>
            <w:tcW w:type="dxa" w:w="3744"/>
          </w:tcPr>
          <w:p>
            <w:pPr>
              <w:spacing w:after="40"/>
            </w:pPr>
            <w:r>
              <w:rPr>
                <w:b w:val="0"/>
                <w:sz w:val="18"/>
              </w:rPr>
              <w:t>User login, role-based views and price/efficiency analysis</w:t>
            </w:r>
          </w:p>
        </w:tc>
        <w:tc>
          <w:tcPr>
            <w:tcW w:type="dxa" w:w="2016"/>
          </w:tcPr>
          <w:p>
            <w:pPr>
              <w:spacing w:after="40"/>
            </w:pPr>
            <w:r>
              <w:rPr>
                <w:b w:val="0"/>
                <w:sz w:val="18"/>
              </w:rPr>
              <w:t>Within 5–6 months</w:t>
            </w:r>
          </w:p>
        </w:tc>
        <w:tc>
          <w:tcPr>
            <w:tcW w:type="dxa" w:w="2880"/>
          </w:tcPr>
          <w:p>
            <w:pPr>
              <w:spacing w:after="40"/>
            </w:pPr>
            <w:r>
              <w:rPr>
                <w:b w:val="0"/>
                <w:sz w:val="18"/>
              </w:rPr>
              <w:t>Secure multi-user access and deeper product positioning insights</w:t>
            </w:r>
          </w:p>
        </w:tc>
      </w:tr>
    </w:tbl>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