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Role of Blockchain in GhostFrame</w:t>
      </w:r>
    </w:p>
    <w:p>
      <w:r>
        <w:t>Why it was introduced and how multiple independent nodes could help</w:t>
      </w:r>
    </w:p>
    <w:p>
      <w:pPr>
        <w:pStyle w:val="Heading1"/>
      </w:pPr>
      <w:r>
        <w:t>Why introduce blockchain into a privacy tool</w:t>
      </w:r>
    </w:p>
    <w:p>
      <w:r>
        <w:t>GhostFrame’s main purpose is to reduce hidden information in files before sharing. Its privacy engine inspects a file, sanitizes a separate copy and checks the result. Blockchain adds a different capability: a separately recorded reference against which the evidence of that operation can later be checked. The motivation is accountability when someone asks which file was processed, which output belongs to it and whether the supporting record has changed.</w:t>
      </w:r>
    </w:p>
    <w:p>
      <w:r>
        <w:t>A report and its hashes kept by one operator can be replaced together. Encryption protects evidence, and local integrity checks detect many changes, but a self-contained package cannot alone establish which version was recorded earlier. Anchoring a commitment in an independently maintained ledger provides an external comparison point. This is the rationale for the feature; ordinary metadata removal still works without blockchain.</w:t>
      </w:r>
    </w:p>
    <w:p>
      <w:pPr>
        <w:pStyle w:val="Heading1"/>
      </w:pPr>
      <w:r>
        <w:t>What GhostFrame currently records</w:t>
      </w:r>
    </w:p>
    <w:p>
      <w:r>
        <w:t>The current build uses an optional local Anvil EVM and the GhostFrameAnchor smart contract. A hash is a compact fingerprint of exact bytes; a commitment binds a defined evidence record to such a fingerprint. The contract records two stages for the same operation:</w:t>
      </w:r>
    </w:p>
    <w:p>
      <w:r>
        <w:t>1. Inspection anchor — before sanitization, records the source-file hash and commitments to the inspection evidence and its schema. This establishes the recorded starting point.</w:t>
      </w:r>
    </w:p>
    <w:p>
      <w:r>
        <w:t>2. Verification anchor — after sanitization and local re-inspection, records the sanitized-file hash, verification commitment and final lifecycle commitment. It links the reported result to the earlier inspection. The contract requires the same submitting address and permits each stage only once.</w:t>
      </w:r>
    </w:p>
    <w:p>
      <w:r>
        <w:t>Files, names, GPS coordinates, document text and passphrases do not go on-chain. Detailed evidence is encrypted off-chain; the ledger holds hashes, commitments, the submitting address and chain timestamps. A GFP 2.0 package includes evidence and receipts. Offline verification checks the package locally; a current blockchain re-check separately compares its expected commitments with the configured chain. A transaction hash alone is not accepted as proof.</w:t>
      </w:r>
    </w:p>
    <w:p>
      <w:pPr>
        <w:pStyle w:val="Heading1"/>
      </w:pPr>
      <w:r>
        <w:t>A practical example of its usefulness</w:t>
      </w:r>
    </w:p>
    <w:p>
      <w:r>
        <w:t>Suppose a consultancy sanitizes a client proposal before sending it. Later, a reviewer receives the proposal and the evidence package. With authorised access to the evidence, the reviewer can check whether the supplied output matches the recorded sanitized-file hash and whether the evidence matches the earlier ledger commitments. Substituting a different file or changing the evidence would produce a mismatch against that reference, assuming the ledger view is trustworthy.</w:t>
      </w:r>
    </w:p>
    <w:p>
      <w:r>
        <w:t>This supports version matching, internal review and investigation of discrepancies. It does not prove that the proposal was legally obtained, that every sensitive detail was removed, or that the recipient actually received it at a particular time. The nodes do not run GhostFrame’s metadata checks; they validate transactions and contract rules.</w:t>
      </w:r>
    </w:p>
    <w:p>
      <w:r>
        <w:br w:type="page"/>
      </w:r>
    </w:p>
    <w:p>
      <w:pPr>
        <w:pStyle w:val="Heading1"/>
      </w:pPr>
      <w:r>
        <w:t>How a multi node network could help</w:t>
      </w:r>
    </w:p>
    <w:p>
      <w:r>
        <w:t>A multi-node network has several connected computers maintaining the same ledger. Validating nodes check blocks and transactions; designated consensus participants agree which valid history is accepted. Multiple unrelated Anvil instances would be separate chains, not a shared network. A real extension would require network membership, a consensus protocol and agreed rules for operation. [1]</w:t>
      </w:r>
    </w:p>
    <w:p>
      <w:r>
        <w:t>The useful change is independent control. For example, a document-processing organisation, a client organisation and an auditor could maintain separately administered nodes on a permissioned network. This illustrates possible roles, not a sufficient validator count: the required number and fault tolerance depend on the chosen consensus protocol.</w:t>
      </w:r>
    </w:p>
    <w:p>
      <w:r>
        <w:t>Independent checking: a reviewer could consult its own validating node rather than rely entirely on the sender’s RPC service. Shared history: one operator could not silently replace the record accepted by the other participants, provided the consensus and trust assumptions hold. Resilience: replicated ledger data can survive an individual node failure, although new transactions still require the necessary consensus quorum. [1]</w:t>
      </w:r>
    </w:p>
    <w:p>
      <w:r>
        <w:t>Several nodes controlled by the same administrator mainly improve redundancy and testing. They offer much less protection against that administrator rewriting or replacing the network. Adding ordinary replica nodes also does not automatically increase consensus fault tolerance. Independence, validator governance and secure keys matter more than the raw number of computers.</w:t>
      </w:r>
    </w:p>
    <w:p>
      <w:pPr>
        <w:pStyle w:val="Heading1"/>
      </w:pPr>
      <w:r>
        <w:t>What would need to change from the current build</w:t>
      </w:r>
    </w:p>
    <w:p>
      <w:r>
        <w:t>GhostFrame 2.2.0 demonstrates the lifecycle on a local development chain. Its application accepts only loopback RPC endpoints and does not provide a multi-organisation network or production key management. A local chain can be reset or replaced by its operator, so the current demonstration does not deliver independent distributed trust.</w:t>
      </w:r>
    </w:p>
    <w:p>
      <w:r>
        <w:t>A future design would need independently operated validators, durable ledger storage, defined finality, authenticated node connections, protected transaction keys and permission rules. The current contract’s same-address rule is not an organisational membership system. A locally validating node could expose loopback RPC to GhostFrame while networking with peers, but that deployment would still require implementation review and testing. Front-running and RPC trust would also need review. Commitments would cross machines even though files and detailed metadata stayed local.</w:t>
      </w:r>
    </w:p>
    <w:p>
      <w:pPr>
        <w:pStyle w:val="Heading1"/>
      </w:pPr>
      <w:r>
        <w:t>When blockchain is worth using</w:t>
      </w:r>
    </w:p>
    <w:p>
      <w:r>
        <w:t>It is most useful when several parties need a common historical reference and do not want one party to control it alone. For a single user or one fully trusted organisation, a signed report, controlled audit log or trusted timestamp service may be simpler. Multiple nodes add operational cost, network dependence and governance work; they do not make sanitization faster or more accurate.</w:t>
      </w:r>
    </w:p>
    <w:p>
      <w:r>
        <w:t>My reason for introducing blockchain is to make GhostFrame’s processing evidence independently checkable against a shared record. The privacy engine performs the removal; cryptography protects and binds the evidence; blockchain records the commitments. A future multi-node deployment could distribute control of that record. It would still not prove identity, ownership, metadata truth or complete safety. Chain timestamps are not trusted real-world clocks, and hashes can reveal links to already-known files.</w:t>
      </w:r>
    </w:p>
    <w:p>
      <w:pPr>
        <w:pStyle w:val="Heading1"/>
      </w:pPr>
      <w:r>
        <w:t>References</w:t>
      </w:r>
    </w:p>
    <w:p>
      <w:pPr>
        <w:spacing w:after="60"/>
      </w:pPr>
      <w:r>
        <w:rPr>
          <w:sz w:val="18"/>
        </w:rPr>
        <w:t xml:space="preserve">[1] </w:t>
      </w:r>
      <w:hyperlink r:id="rId9">
        <w:r>
          <w:t>Ethereum documentation — Nodes and clients</w:t>
        </w:r>
      </w:hyperlink>
    </w:p>
    <w:p>
      <w:pPr>
        <w:spacing w:after="60"/>
      </w:pPr>
      <w:r>
        <w:rPr>
          <w:sz w:val="18"/>
        </w:rPr>
        <w:t>Implementation basis: GhostFrameAnchor.sol, blockchain README and architecture documentation in the current GhostFrame 2.2.0 project. Multi-node design is a proposed extension, not a current feature.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thereum.org/developers/docs/nodes-and-cli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Role of Blockchain in GhostFrame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