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GhostFrame and Safer File Sharing</w:t>
      </w:r>
    </w:p>
    <w:p>
      <w:r>
        <w:t>Project idea, practical purpose and connection to India’s DPDP framework</w:t>
      </w:r>
    </w:p>
    <w:p>
      <w:pPr>
        <w:pStyle w:val="Heading1"/>
      </w:pPr>
      <w:r>
        <w:t>The idea behind my project</w:t>
      </w:r>
    </w:p>
    <w:p>
      <w:r>
        <w:t>My idea is to make hidden information in everyday files visible before people share them. A photograph may reveal GPS coordinates, while a document may carry an author’s name, comments, editing history or external links. These details can travel with the file even when they are not visible on the page. GhostFrame helps users understand this exposure, create a separate sanitized copy and check what was actually removed.</w:t>
      </w:r>
    </w:p>
    <w:p>
      <w:pPr>
        <w:pStyle w:val="Heading1"/>
      </w:pPr>
      <w:r>
        <w:t>What the current build does</w:t>
      </w:r>
    </w:p>
    <w:p>
      <w:r>
        <w:t>GhostFrame 2.2.0 is a browser-based Streamlit application that runs locally at localhost:8501 on Windows, macOS and Linux. It supports JPG/JPEG, PNG, PDF and DOCX. After dependencies are installed, its normal workflows need no internet, hosting or cloud account. Uploaded files and extracted metadata are processed on the user’s computer without external APIs, analytics or AI services.</w:t>
      </w:r>
    </w:p>
    <w:p>
      <w:r>
        <w:t>The workflow is Upload → Understand → Protect → Verify and Download. GhostFrame explains supported findings, presents an exposure score and recommends actions. Sensitive values are masked by default. It preserves the original, applies format-specific sanitization and re-inspects the output, showing removed and remaining findings. This makes verification part of the process rather than assuming that a successful download means all risks disappeared.</w:t>
      </w:r>
    </w:p>
    <w:p>
      <w:r>
        <w:t>Optional Verifiable Evidence Mode encrypts detailed evidence with AES-256-GCM in a GFE file and packages it with verification material in a GFP package. Hash-linked audit records help detect changes. Optional local EVM blockchain anchoring records commitments before and after sanitization; sensitive metadata remains encrypted off-chain. Independent package checks can test integrity and, when the relevant files are supplied, whether their bytes match the recorded hashes. These checks do not prove authorship or truth.</w:t>
      </w:r>
    </w:p>
    <w:p>
      <w:pPr>
        <w:pStyle w:val="Heading1"/>
      </w:pPr>
      <w:r>
        <w:t>Real world purpose</w:t>
      </w:r>
    </w:p>
    <w:p>
      <w:r>
        <w:t>For students and job applicants, it provides a check before sending a résumé or assignment that may contain another editor’s name or private comments. For an HR team, consultant or small business, it offers a manual checkpoint before sharing client documents. For photographers and journalists, it can reduce accidental location and device disclosure in images. These are useful deployment scenarios, not claims of existing organisational adoption.</w:t>
      </w:r>
    </w:p>
    <w:p>
      <w:r>
        <w:t>For example, an employee can inspect a client proposal, remove supported author and review metadata, review the remaining findings and send the sanitized copy. A separate evidence package can support an internal review of that operation. Visible names, signatures, account details and confidential wording still require manual review or a separate redaction process.</w:t>
      </w:r>
    </w:p>
    <w:p>
      <w:r>
        <w:br w:type="page"/>
      </w:r>
    </w:p>
    <w:p>
      <w:pPr>
        <w:pStyle w:val="Heading1"/>
      </w:pPr>
      <w:r>
        <w:t>Connection to the DPDP Act</w:t>
      </w:r>
    </w:p>
    <w:p>
      <w:r>
        <w:t>India’s Digital Personal Data Protection Act, 2023 concerns digital personal data. Metadata can fall within this scope when it relates to an identifiable individual; not every technical field is personal data. GhostFrame addresses one practical source of unnecessary disclosure when an organisation processes and shares files. Purely personal or domestic processing has a statutory exclusion. [1]</w:t>
      </w:r>
    </w:p>
    <w:p>
      <w:r>
        <w:t>Purpose and necessity: Section 6(1) limits consent-based processing to personal data necessary for the specified purpose. Removing unnecessary personal metadata can support that objective. GhostFrame cannot decide the lawful purpose, obtain valid consent or replace the organisation’s privacy notice. [1]</w:t>
      </w:r>
    </w:p>
    <w:p>
      <w:r>
        <w:t>Security safeguards: Sections 8(4) and 8(5) address technical and organisational measures and reasonable safeguards against personal data breaches. Local processing, supported metadata removal and encrypted evidence can contribute to such measures. Rule 6 of the DPDP Rules, 2025 includes encryption or masking alongside wider safeguards. GhostFrame’s display masking only hides values in the interface; it does not sanitize the original file. [1][2]</w:t>
      </w:r>
    </w:p>
    <w:p>
      <w:r>
        <w:t>Retention and accountability: Section 8(7) addresses erasure when consent is withdrawn or the purpose ends, subject to legal retention requirements. GhostFrame can reduce personal metadata in the outgoing copy, but preserves the original and does not erase organisational records, backups or recipients’ copies. Its evidence may support an internal review; it is not a compliance certificate. [1]</w:t>
      </w:r>
    </w:p>
    <w:p>
      <w:r>
        <w:t>Status as of 13 October 2026: commencement is phased. The core duties discussed above and Rule 6 are in the eighteen-month commencement group following the November 2025 notifications, scheduled for May 2027. This connection therefore describes privacy preparedness as well as good practice; it does not mean all DPDP obligations are already in force. [1][2]</w:t>
      </w:r>
    </w:p>
    <w:p>
      <w:pPr>
        <w:pStyle w:val="Heading1"/>
      </w:pPr>
      <w:r>
        <w:t>Other security reasons for the project</w:t>
      </w:r>
    </w:p>
    <w:p>
      <w:r>
        <w:t>Reducing metadata can make location exposure, profiling and targeted social engineering harder. Supported PDF actions and DOCX external references are also inspected and can be removed where supported, reducing some unwanted external behaviour. Uploaded active content is not executed. File-type checks, size limits and protections against unsafe ZIP/XML structures help constrain malicious input.</w:t>
      </w:r>
    </w:p>
    <w:p>
      <w:r>
        <w:t>Encrypted evidence protects the confidentiality of recorded findings, while hashes and authenticated encryption help reveal alteration or file substitution. The local blockchain demonstration adds a separately recorded commitment, but does not prove identity, ownership or lawful provenance. It is a research and educational prototype, not a public-chain production service. File hashes may still enable correlation with known files.</w:t>
      </w:r>
    </w:p>
    <w:p>
      <w:r>
        <w:t>GhostFrame is a practical privacy checkpoint within a wider security process. It does not detect malware, redact visible content, guarantee anonymity or replace access controls, incident response, consent management and retention policies. Its main value is helping a user share less hidden information and verify the supported changes.</w:t>
      </w:r>
    </w:p>
    <w:p>
      <w:pPr>
        <w:pStyle w:val="Heading1"/>
      </w:pPr>
      <w:r>
        <w:t>Sources</w:t>
      </w:r>
    </w:p>
    <w:p>
      <w:pPr>
        <w:spacing w:after="60"/>
      </w:pPr>
      <w:r>
        <w:rPr>
          <w:sz w:val="18"/>
        </w:rPr>
        <w:t xml:space="preserve">[1] </w:t>
      </w:r>
      <w:hyperlink r:id="rId9">
        <w:r>
          <w:rPr>
            <w:color w:val="245A81"/>
          </w:rPr>
          <w:t>India Code — DPDP Act 2023 and commencement annotations</w:t>
        </w:r>
      </w:hyperlink>
    </w:p>
    <w:p>
      <w:pPr>
        <w:spacing w:after="60"/>
      </w:pPr>
      <w:r>
        <w:rPr>
          <w:sz w:val="18"/>
        </w:rPr>
        <w:t xml:space="preserve">[2] </w:t>
      </w:r>
      <w:hyperlink r:id="rId10">
        <w:r>
          <w:rPr>
            <w:color w:val="245A81"/>
          </w:rPr>
          <w:t>MeitY — DPDP Rules 2025, Rules 1 and 6</w:t>
        </w:r>
      </w:hyperlink>
    </w:p>
    <w:p>
      <w:pPr>
        <w:spacing w:after="0"/>
      </w:pPr>
      <w:r>
        <w:rPr>
          <w:sz w:val="18"/>
        </w:rPr>
        <w:t>Build references: GhostFrame 2.2.0 source, README, release notes and architecture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22037/1/a2023-22.pdf" TargetMode="External"/><Relationship Id="rId10" Type="http://schemas.openxmlformats.org/officeDocument/2006/relationships/hyperlink" Target="https://www.meity.gov.in/static/uploads/2025/11/53450e6e5dc0bfa85ebd78686cadad3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GhostFrame and Safer File Sharing</dc:title>
  <dc:subject>Project purpose and DPDP relationship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