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ff81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4924425</wp:posOffset>
            </wp:positionH>
            <wp:positionV relativeFrom="paragraph">
              <wp:posOffset>228600</wp:posOffset>
            </wp:positionV>
            <wp:extent cx="914400" cy="1066800"/>
            <wp:effectExtent b="0" l="0" r="0" t="0"/>
            <wp:wrapSquare wrapText="bothSides" distB="228600" distT="228600" distL="228600" distR="228600"/>
            <wp:docPr descr="Placeholder image" id="6" name="image3.png"/>
            <a:graphic>
              <a:graphicData uri="http://schemas.openxmlformats.org/drawingml/2006/picture">
                <pic:pic>
                  <pic:nvPicPr>
                    <pic:cNvPr descr="Placeholder image" id="0" name="image3.png"/>
                    <pic:cNvPicPr preferRelativeResize="0"/>
                  </pic:nvPicPr>
                  <pic:blipFill>
                    <a:blip r:embed="rId6"/>
                    <a:srcRect b="10021" l="0" r="0" t="15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6d00"/>
          <w:sz w:val="68"/>
          <w:szCs w:val="68"/>
        </w:rPr>
      </w:pPr>
      <w:bookmarkStart w:colFirst="0" w:colLast="0" w:name="_6jynaot9cbnq" w:id="0"/>
      <w:bookmarkEnd w:id="0"/>
      <w:r w:rsidDel="00000000" w:rsidR="00000000" w:rsidRPr="00000000">
        <w:rPr>
          <w:color w:val="ff6d00"/>
          <w:rtl w:val="0"/>
        </w:rPr>
        <w:t xml:space="preserve">Billings</w:t>
      </w:r>
      <w:r w:rsidDel="00000000" w:rsidR="00000000" w:rsidRPr="00000000">
        <w:rPr>
          <w:color w:val="ff6d00"/>
          <w:rtl w:val="0"/>
        </w:rPr>
        <w:t xml:space="preserve">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6d00"/>
        </w:rPr>
      </w:pPr>
      <w:bookmarkStart w:colFirst="0" w:colLast="0" w:name="_xr1uctwau2qt" w:id="1"/>
      <w:bookmarkEnd w:id="1"/>
      <w:r w:rsidDel="00000000" w:rsidR="00000000" w:rsidRPr="00000000">
        <w:rPr>
          <w:color w:val="ff6d00"/>
          <w:rtl w:val="0"/>
        </w:rPr>
        <w:t xml:space="preserve">October, 2023</w:t>
      </w:r>
    </w:p>
    <w:p w:rsidR="00000000" w:rsidDel="00000000" w:rsidP="00000000" w:rsidRDefault="00000000" w:rsidRPr="00000000" w14:paraId="00000004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This module has information about client transactions including recurring memberships or one-time payments. Transaction </w:t>
      </w: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 is shown in the description column, if the transaction is for a recurring membership, the </w:t>
      </w:r>
      <w:r w:rsidDel="00000000" w:rsidR="00000000" w:rsidRPr="00000000">
        <w:rPr>
          <w:b w:val="1"/>
          <w:rtl w:val="0"/>
        </w:rPr>
        <w:t xml:space="preserve">dates covered</w:t>
      </w:r>
      <w:r w:rsidDel="00000000" w:rsidR="00000000" w:rsidRPr="00000000">
        <w:rPr>
          <w:rtl w:val="0"/>
        </w:rPr>
        <w:t xml:space="preserve"> will be shown in the pay period column. Transaction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(succeeded or failed) and notes can also be viewed in their respective columns.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zvbe6iajcfh" w:id="2"/>
      <w:bookmarkEnd w:id="2"/>
      <w:r w:rsidDel="00000000" w:rsidR="00000000" w:rsidRPr="00000000">
        <w:rPr>
          <w:rtl w:val="0"/>
        </w:rPr>
        <w:t xml:space="preserve">How To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2"/>
        </w:numPr>
        <w:spacing w:after="0" w:afterAutospacing="0" w:line="360" w:lineRule="auto"/>
        <w:rPr/>
      </w:pPr>
      <w:bookmarkStart w:colFirst="0" w:colLast="0" w:name="_xn5s70sxc9k4" w:id="3"/>
      <w:bookmarkEnd w:id="3"/>
      <w:hyperlink w:anchor="pob676xpxu45">
        <w:r w:rsidDel="00000000" w:rsidR="00000000" w:rsidRPr="00000000">
          <w:rPr>
            <w:color w:val="1155cc"/>
            <w:u w:val="single"/>
            <w:rtl w:val="0"/>
          </w:rPr>
          <w:t xml:space="preserve">View transactions details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  <w:rPr/>
      </w:pPr>
      <w:bookmarkStart w:colFirst="0" w:colLast="0" w:name="_nk6z6gd0erd9" w:id="4"/>
      <w:bookmarkEnd w:id="4"/>
      <w:hyperlink w:anchor="kix.rvhqph1hxxta">
        <w:r w:rsidDel="00000000" w:rsidR="00000000" w:rsidRPr="00000000">
          <w:rPr>
            <w:color w:val="1155cc"/>
            <w:u w:val="single"/>
            <w:rtl w:val="0"/>
          </w:rPr>
          <w:t xml:space="preserve">View/print/email receipt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2"/>
        </w:numPr>
        <w:spacing w:after="0" w:afterAutospacing="0" w:before="0" w:beforeAutospacing="0" w:line="360" w:lineRule="auto"/>
      </w:pPr>
      <w:bookmarkStart w:colFirst="0" w:colLast="0" w:name="_ljv4h7lezx8e" w:id="5"/>
      <w:bookmarkEnd w:id="5"/>
      <w:hyperlink w:anchor="kix.zbcrdvan4xno">
        <w:r w:rsidDel="00000000" w:rsidR="00000000" w:rsidRPr="00000000">
          <w:rPr>
            <w:color w:val="1155cc"/>
            <w:u w:val="single"/>
            <w:rtl w:val="0"/>
          </w:rPr>
          <w:t xml:space="preserve">Add transaction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numPr>
          <w:ilvl w:val="0"/>
          <w:numId w:val="2"/>
        </w:numPr>
        <w:spacing w:before="0" w:beforeAutospacing="0" w:line="360" w:lineRule="auto"/>
        <w:rPr/>
      </w:pPr>
      <w:bookmarkStart w:colFirst="0" w:colLast="0" w:name="_vf0o6pu376by" w:id="6"/>
      <w:bookmarkEnd w:id="6"/>
      <w:hyperlink w:anchor="kix.2dbsq2ebgl1r">
        <w:r w:rsidDel="00000000" w:rsidR="00000000" w:rsidRPr="00000000">
          <w:rPr>
            <w:color w:val="1155cc"/>
            <w:u w:val="single"/>
            <w:rtl w:val="0"/>
          </w:rPr>
          <w:t xml:space="preserve">View Failed 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36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36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36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36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36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pob676xpxu45" w:id="7"/>
    <w:bookmarkEnd w:id="7"/>
    <w:p w:rsidR="00000000" w:rsidDel="00000000" w:rsidP="00000000" w:rsidRDefault="00000000" w:rsidRPr="00000000" w14:paraId="00000014">
      <w:pPr>
        <w:spacing w:before="0" w:line="36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Quick View function (+)</w:t>
      </w:r>
    </w:p>
    <w:p w:rsidR="00000000" w:rsidDel="00000000" w:rsidP="00000000" w:rsidRDefault="00000000" w:rsidRPr="00000000" w14:paraId="00000015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The purpose of this view is to provide a convenient overview of recurring memberships and non-recurring offerings for each client transaction. </w:t>
      </w:r>
    </w:p>
    <w:p w:rsidR="00000000" w:rsidDel="00000000" w:rsidP="00000000" w:rsidRDefault="00000000" w:rsidRPr="00000000" w14:paraId="00000016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line="360" w:lineRule="auto"/>
        <w:ind w:left="720" w:hanging="360"/>
      </w:pPr>
      <w:r w:rsidDel="00000000" w:rsidR="00000000" w:rsidRPr="00000000">
        <w:rPr>
          <w:rtl w:val="0"/>
        </w:rPr>
        <w:t xml:space="preserve">Click on the + sign on the left-hand side of transactions to get a quick view of transaction type and amount</w:t>
      </w:r>
    </w:p>
    <w:p w:rsidR="00000000" w:rsidDel="00000000" w:rsidP="00000000" w:rsidRDefault="00000000" w:rsidRPr="00000000" w14:paraId="00000018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0" w:line="360" w:lineRule="auto"/>
        <w:ind w:left="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V</w:t>
      </w:r>
      <w:bookmarkStart w:colFirst="0" w:colLast="0" w:name="kix.rvhqph1hxxta" w:id="8"/>
      <w:bookmarkEnd w:id="8"/>
      <w:r w:rsidDel="00000000" w:rsidR="00000000" w:rsidRPr="00000000">
        <w:rPr>
          <w:b w:val="1"/>
          <w:u w:val="single"/>
          <w:rtl w:val="0"/>
        </w:rPr>
        <w:t xml:space="preserve">iew/email receipt: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Receipts include information such as receipt ID, date/time of the transaction, type of transaction (recurring membership/non-recurring offering/custom offering charges), and the full amount of the transaction. </w:t>
      </w:r>
    </w:p>
    <w:p w:rsidR="00000000" w:rsidDel="00000000" w:rsidP="00000000" w:rsidRDefault="00000000" w:rsidRPr="00000000" w14:paraId="0000001B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Goto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24"/>
          <w:szCs w:val="24"/>
          <w:shd w:fill="d9d9d9" w:val="clear"/>
          <w:rtl w:val="0"/>
        </w:rPr>
        <w:t xml:space="preserve">⋮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far right of the transaction: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view receipt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Receipt will open in a new tab and can be printed by using the </w:t>
      </w:r>
      <w:r w:rsidDel="00000000" w:rsidR="00000000" w:rsidRPr="00000000">
        <w:rPr/>
        <w:drawing>
          <wp:inline distB="114300" distT="114300" distL="114300" distR="114300">
            <wp:extent cx="208643" cy="190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4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icon on the top right corner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email receipt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before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copy of the receipt will be emailed to the email address on file</w:t>
      </w:r>
    </w:p>
    <w:p w:rsidR="00000000" w:rsidDel="00000000" w:rsidP="00000000" w:rsidRDefault="00000000" w:rsidRPr="00000000" w14:paraId="00000021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bookmarkStart w:colFirst="0" w:colLast="0" w:name="kix.zbcrdvan4xno" w:id="9"/>
    <w:bookmarkEnd w:id="9"/>
    <w:p w:rsidR="00000000" w:rsidDel="00000000" w:rsidP="00000000" w:rsidRDefault="00000000" w:rsidRPr="00000000" w14:paraId="00000022">
      <w:pPr>
        <w:spacing w:before="0" w:line="36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Buy Membership: </w:t>
      </w:r>
      <w:r w:rsidDel="00000000" w:rsidR="00000000" w:rsidRPr="00000000">
        <w:rPr>
          <w:rtl w:val="0"/>
        </w:rPr>
        <w:t xml:space="preserve">Use the “Buy membership” button on the top bar </w:t>
      </w:r>
    </w:p>
    <w:p w:rsidR="00000000" w:rsidDel="00000000" w:rsidP="00000000" w:rsidRDefault="00000000" w:rsidRPr="00000000" w14:paraId="00000023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List of all membership options available to you will be shown </w:t>
      </w:r>
    </w:p>
    <w:p w:rsidR="00000000" w:rsidDel="00000000" w:rsidP="00000000" w:rsidRDefault="00000000" w:rsidRPr="00000000" w14:paraId="00000024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You can then choose which membership you would like to add from the options listed along with the start date of when you would like for it to begin.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36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36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360" w:lineRule="auto"/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bookmarkStart w:colFirst="0" w:colLast="0" w:name="kix.2dbsq2ebgl1r" w:id="10"/>
    <w:bookmarkEnd w:id="10"/>
    <w:p w:rsidR="00000000" w:rsidDel="00000000" w:rsidP="00000000" w:rsidRDefault="00000000" w:rsidRPr="00000000" w14:paraId="00000028">
      <w:pPr>
        <w:spacing w:before="0" w:line="36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Failed transactions</w:t>
      </w:r>
    </w:p>
    <w:p w:rsidR="00000000" w:rsidDel="00000000" w:rsidP="00000000" w:rsidRDefault="00000000" w:rsidRPr="00000000" w14:paraId="00000029">
      <w:pPr>
        <w:spacing w:before="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Failed transactions are transactions that did not go through due to issues in the form of the payment method selected for that transaction.</w:t>
      </w:r>
      <w:r w:rsidDel="00000000" w:rsidR="00000000" w:rsidRPr="00000000">
        <w:rPr>
          <w:rtl w:val="0"/>
        </w:rPr>
      </w:r>
    </w:p>
    <w:sectPr>
      <w:headerReference r:id="rId8" w:type="first"/>
      <w:headerReference r:id="rId9" w:type="default"/>
      <w:footerReference r:id="rId10" w:type="first"/>
      <w:footerReference r:id="rId11" w:type="defaul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2" name="image8.png"/>
          <a:graphic>
            <a:graphicData uri="http://schemas.openxmlformats.org/drawingml/2006/picture">
              <pic:pic>
                <pic:nvPicPr>
                  <pic:cNvPr descr="footer graphic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1" name="image7.png"/>
          <a:graphic>
            <a:graphicData uri="http://schemas.openxmlformats.org/drawingml/2006/picture">
              <pic:pic>
                <pic:nvPicPr>
                  <pic:cNvPr descr="footer graphic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2acfd6"/>
      </w:rPr>
    </w:pPr>
    <w:r w:rsidDel="00000000" w:rsidR="00000000" w:rsidRPr="00000000">
      <w:rPr>
        <w:b w:val="1"/>
        <w:color w:val="ffa900"/>
        <w:sz w:val="38"/>
        <w:szCs w:val="38"/>
      </w:rPr>
      <w:drawing>
        <wp:inline distB="114300" distT="114300" distL="114300" distR="114300">
          <wp:extent cx="1905000" cy="61912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0" cy="6191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9.png"/>
          <a:graphic>
            <a:graphicData uri="http://schemas.openxmlformats.org/drawingml/2006/picture">
              <pic:pic>
                <pic:nvPicPr>
                  <pic:cNvPr descr="corner graphic"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spacing w:before="0" w:line="240" w:lineRule="auto"/>
      <w:rPr>
        <w:color w:val="39c1c6"/>
        <w:sz w:val="24"/>
        <w:szCs w:val="24"/>
      </w:rPr>
    </w:pPr>
    <w:hyperlink r:id="rId3">
      <w:r w:rsidDel="00000000" w:rsidR="00000000" w:rsidRPr="00000000">
        <w:rPr>
          <w:color w:val="39c1c6"/>
          <w:sz w:val="20"/>
          <w:szCs w:val="20"/>
          <w:u w:val="single"/>
          <w:rtl w:val="0"/>
        </w:rPr>
        <w:t xml:space="preserve">support@vitafyhealth.com</w:t>
      </w:r>
    </w:hyperlink>
    <w:r w:rsidDel="00000000" w:rsidR="00000000" w:rsidRPr="00000000">
      <w:rPr>
        <w:color w:val="39c1c6"/>
        <w:sz w:val="20"/>
        <w:szCs w:val="20"/>
        <w:rtl w:val="0"/>
      </w:rPr>
      <w:t xml:space="preserve"> | 1-866-4-VITAFY | </w:t>
    </w:r>
    <w:r w:rsidDel="00000000" w:rsidR="00000000" w:rsidRPr="00000000">
      <w:rPr>
        <w:color w:val="525252"/>
        <w:sz w:val="24"/>
        <w:szCs w:val="24"/>
        <w:rtl w:val="0"/>
      </w:rPr>
      <w:t xml:space="preserve">(866) 484-8239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7" name="image6.png"/>
          <a:graphic>
            <a:graphicData uri="http://schemas.openxmlformats.org/drawingml/2006/picture">
              <pic:pic>
                <pic:nvPicPr>
                  <pic:cNvPr descr="geometric_corner.png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76" w:lineRule="auto"/>
      <w:ind w:left="720" w:hanging="360"/>
    </w:pPr>
    <w:rPr>
      <w:color w:val="1155cc"/>
      <w:sz w:val="26"/>
      <w:szCs w:val="26"/>
      <w:u w:val="single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0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9.png"/><Relationship Id="rId3" Type="http://schemas.openxmlformats.org/officeDocument/2006/relationships/hyperlink" Target="mailto:support@vitafyhealth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