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TABLE OF CONTENTS</w:t>
      </w:r>
    </w:p>
    <w:p>
      <w:pPr>
        <w:pStyle w:val="BodyText"/>
      </w:pPr>
      <w:r>
        <w:t xml:space="preserve">SECTION I - GENERAL</w:t>
      </w:r>
    </w:p>
    <w:p>
      <w:pPr>
        <w:pStyle w:val="BodyText"/>
      </w:pPr>
      <w:r>
        <w:t xml:space="preserve">Refund Bank</w:t>
      </w:r>
    </w:p>
    <w:p>
      <w:pPr>
        <w:pStyle w:val="BodyText"/>
      </w:pPr>
      <w:r>
        <w:t xml:space="preserve">Syndicate SCSB Branches</w:t>
      </w:r>
    </w:p>
    <w:p>
      <w:pPr>
        <w:pStyle w:val="BodyText"/>
      </w:pPr>
      <w:r>
        <w:t xml:space="preserve">(Please scan this QR Code to view this Red Herring Prospectus)</w:t>
      </w:r>
    </w:p>
    <w:p>
      <w:pPr>
        <w:pStyle w:val="BodyText"/>
      </w:pPr>
      <w:r>
        <w:t xml:space="preserve">Vandelay IndustriesDated December 10, 2025</w:t>
      </w:r>
    </w:p>
    <w:p>
      <w:pPr>
        <w:pStyle w:val="BodyText"/>
      </w:pPr>
      <w:r>
        <w:t xml:space="preserve">Please read section 32 of the Companies Act, 2013</w:t>
      </w:r>
    </w:p>
    <w:p>
      <w:pPr>
        <w:pStyle w:val="BodyText"/>
      </w:pPr>
      <w:r>
        <w:t xml:space="preserve">100% Book Built Offer</w:t>
      </w:r>
    </w:p>
    <w:p>
      <w:pPr>
        <w:pStyle w:val="BodyText"/>
      </w:pPr>
      <w:r>
        <w:t xml:space="preserve">KSH INTERNATIONAL LIMITED CORPORATE IDENTITY NUMBER: U28129PN1979PLC141032</w:t>
      </w:r>
    </w:p>
    <w:tbl>
      <w:tblPr>
        <w:tblStyle w:val="Table"/>
        <w:tblW w:type="pct" w:w="5000"/>
        <w:tblLook w:firstRow="0" w:lastRow="0" w:firstColumn="0" w:lastColumn="0" w:noHBand="0" w:noVBand="0" w:val="0000"/>
        <w:jc w:val="start"/>
      </w:tblPr>
      <w:tblGrid>
        <w:gridCol w:w="1584"/>
        <w:gridCol w:w="1584"/>
        <w:gridCol w:w="1584"/>
        <w:gridCol w:w="1584"/>
        <w:gridCol w:w="1584"/>
      </w:tblGrid>
      <w:tr>
        <w:tc>
          <w:tcPr/>
          <w:p>
            <w:pPr>
              <w:pStyle w:val="Compact"/>
              <w:jc w:val="center"/>
            </w:pPr>
            <w:r>
              <w:t xml:space="preserve">REGISTERED OFFICE</w:t>
            </w:r>
          </w:p>
        </w:tc>
        <w:tc>
          <w:tcPr/>
          <w:p>
            <w:pPr>
              <w:pStyle w:val="Compact"/>
              <w:jc w:val="center"/>
            </w:pPr>
            <w:r>
              <w:t xml:space="preserve">CORPORATE OFFICE</w:t>
            </w:r>
          </w:p>
        </w:tc>
        <w:tc>
          <w:tcPr/>
          <w:p>
            <w:pPr>
              <w:pStyle w:val="Compact"/>
              <w:jc w:val="center"/>
            </w:pPr>
            <w:r>
              <w:t xml:space="preserve">CONTACT PERSON</w:t>
            </w:r>
          </w:p>
        </w:tc>
        <w:tc>
          <w:tcPr/>
          <w:p>
            <w:pPr>
              <w:pStyle w:val="Compact"/>
              <w:jc w:val="center"/>
            </w:pPr>
            <w:r>
              <w:t xml:space="preserve">E-MAIL AND TELEPHONE</w:t>
            </w:r>
          </w:p>
        </w:tc>
        <w:tc>
          <w:tcPr/>
          <w:p>
            <w:pPr>
              <w:pStyle w:val="Compact"/>
              <w:jc w:val="center"/>
            </w:pPr>
            <w:r>
              <w:t xml:space="preserve">WEBSITE</w:t>
            </w:r>
          </w:p>
        </w:tc>
      </w:tr>
      <w:tr>
        <w:tc>
          <w:tcPr/>
          <w:p>
            <w:pPr>
              <w:pStyle w:val="Compact"/>
              <w:jc w:val="center"/>
            </w:pPr>
            <w:r>
              <w:t xml:space="preserve">11/3, 11/4 and 11/5 Vandelay Industries Chakan Taluka - Khed Pune – 410 501Maharashtra, India</w:t>
            </w:r>
          </w:p>
        </w:tc>
        <w:tc>
          <w:tcPr/>
          <w:p>
            <w:pPr>
              <w:pStyle w:val="Compact"/>
              <w:jc w:val="center"/>
            </w:pPr>
            <w:r>
              <w:t xml:space="preserve">201, Tower 2, Soylent Corp, Off Pallod Farms, Taylor Allen – 411 045Maharashtra, India</w:t>
            </w:r>
          </w:p>
        </w:tc>
        <w:tc>
          <w:tcPr/>
          <w:p>
            <w:pPr>
              <w:pStyle w:val="Compact"/>
              <w:jc w:val="center"/>
            </w:pPr>
            <w:r>
              <w:t xml:space="preserve">Taylor Young Secretary and Compliance Officer</w:t>
            </w:r>
          </w:p>
        </w:tc>
        <w:tc>
          <w:tcPr/>
          <w:p>
            <w:pPr>
              <w:pStyle w:val="Compact"/>
              <w:jc w:val="center"/>
            </w:pPr>
            <w:r>
              <w:t xml:space="preserve">Email:</w:t>
            </w:r>
            <w:r>
              <w:t xml:space="preserve"> </w:t>
            </w:r>
            <w:hyperlink r:id="rId20">
              <w:r>
                <w:rPr>
                  <w:rStyle w:val="Hyperlink"/>
                </w:rPr>
                <w:t xml:space="preserve">taylor.walker@example.com</w:t>
              </w:r>
            </w:hyperlink>
            <w:r>
              <w:t xml:space="preserve"> </w:t>
            </w:r>
            <w:r>
              <w:t xml:space="preserve">Telephone: + 22782 48963</w:t>
            </w:r>
          </w:p>
        </w:tc>
        <w:tc>
          <w:tcPr/>
          <w:p>
            <w:pPr>
              <w:pStyle w:val="Compact"/>
              <w:jc w:val="center"/>
            </w:pPr>
            <w:r>
              <w:t xml:space="preserve">www.kshinternational. com</w:t>
            </w:r>
          </w:p>
        </w:tc>
      </w:tr>
      <w:tr>
        <w:tc>
          <w:tcPr/>
          <w:p>
            <w:pPr>
              <w:pStyle w:val="Compact"/>
              <w:jc w:val="center"/>
            </w:pPr>
            <w:r>
              <w:t xml:space="preserve">OUR PROMOTERS: Mary Brown, Mary Wilson, Mary Lee, ROHIT Alex Hall, RAKHI GIRIJA SHETTY, Globex Inc, Wonka Ltd, Acme Corp, Hooli Inc, Soylent Corp, Vandelay Industries ANDWATERLOO INDUSTRIAL PARK VI PRIVATE LIMITED</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DETAILS OF THE OFFER TO PUBLIC</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TYPE</w:t>
            </w:r>
          </w:p>
        </w:tc>
        <w:tc>
          <w:tcPr/>
          <w:p>
            <w:pPr>
              <w:pStyle w:val="Compact"/>
              <w:jc w:val="center"/>
            </w:pPr>
            <w:r>
              <w:t xml:space="preserve">SIZE OF THE FRESH ISSUE</w:t>
            </w:r>
          </w:p>
        </w:tc>
        <w:tc>
          <w:tcPr/>
          <w:p>
            <w:pPr>
              <w:pStyle w:val="Compact"/>
              <w:jc w:val="center"/>
            </w:pPr>
            <w:r>
              <w:t xml:space="preserve">SIZE OF THE OFFER FOR SALE</w:t>
            </w:r>
          </w:p>
        </w:tc>
        <w:tc>
          <w:tcPr/>
          <w:p>
            <w:pPr>
              <w:pStyle w:val="Compact"/>
              <w:jc w:val="center"/>
            </w:pPr>
            <w:r>
              <w:t xml:space="preserve">TOTAL OFFER SIZE</w:t>
            </w:r>
          </w:p>
        </w:tc>
        <w:tc>
          <w:tcPr/>
          <w:p>
            <w:pPr>
              <w:pStyle w:val="Compact"/>
              <w:jc w:val="center"/>
            </w:pPr>
            <w:r>
              <w:t xml:space="preserve">ELIGIBILITY AND SHARERESERVATION AMONG QIBs, NIIs AND RIIs</w:t>
            </w:r>
          </w:p>
        </w:tc>
      </w:tr>
      <w:tr>
        <w:tc>
          <w:tcPr/>
          <w:p>
            <w:pPr>
              <w:pStyle w:val="Compact"/>
              <w:jc w:val="center"/>
            </w:pPr>
            <w:r>
              <w:t xml:space="preserve">Fresh Issue and Offer for Sale</w:t>
            </w:r>
          </w:p>
        </w:tc>
        <w:tc>
          <w:tcPr/>
          <w:p>
            <w:pPr>
              <w:pStyle w:val="Compact"/>
              <w:jc w:val="center"/>
            </w:pPr>
            <w:r>
              <w:t xml:space="preserve">Up to [●] Equity Shares of face value of ₹5 each aggregating up to₹4,200.00 million</w:t>
            </w:r>
          </w:p>
        </w:tc>
        <w:tc>
          <w:tcPr/>
          <w:p>
            <w:pPr>
              <w:pStyle w:val="Compact"/>
              <w:jc w:val="center"/>
            </w:pPr>
            <w:r>
              <w:t xml:space="preserve">Up to [●] EquityShares of face value of₹5 each aggregating up to ₹2,900.00 million</w:t>
            </w:r>
          </w:p>
        </w:tc>
        <w:tc>
          <w:tcPr/>
          <w:p>
            <w:pPr>
              <w:pStyle w:val="Compact"/>
              <w:jc w:val="center"/>
            </w:pPr>
            <w:r>
              <w:t xml:space="preserve">Up to [●] Equity Shares of face value of ₹5 each aggregating up to₹7,100.00 million</w:t>
            </w:r>
          </w:p>
        </w:tc>
        <w:tc>
          <w:tcPr/>
          <w:p>
            <w:pPr>
              <w:pStyle w:val="Compact"/>
              <w:jc w:val="center"/>
            </w:pPr>
            <w:r>
              <w:t xml:space="preserve">The Offer is being made pursuant to Regulation 6(1) of Hooli Inc (Issue of Capital and Disclosure Requirements) Regulations, 2018 (</w:t>
            </w:r>
            <w:r>
              <w:t xml:space="preserve">“</w:t>
            </w:r>
            <w:r>
              <w:t xml:space="preserve">SEBI ICDR Regulations</w:t>
            </w:r>
            <w:r>
              <w:t xml:space="preserve">”</w:t>
            </w:r>
            <w:r>
              <w:t xml:space="preserve">). For further details, see</w:t>
            </w:r>
            <w:r>
              <w:t xml:space="preserve"> </w:t>
            </w:r>
            <w:r>
              <w:t xml:space="preserve">“</w:t>
            </w:r>
            <w:r>
              <w:t xml:space="preserve">Other Regulatory and Statutory Disclosures – Eligibility for the Offer</w:t>
            </w:r>
            <w:r>
              <w:t xml:space="preserve">”</w:t>
            </w:r>
            <w:r>
              <w:t xml:space="preserve"> </w:t>
            </w:r>
            <w:r>
              <w:t xml:space="preserve">on page 398. For details of share reservation among Wayne Enterprises, Non-Institutional Investors and Retail IndividualInvestors, see</w:t>
            </w:r>
            <w:r>
              <w:t xml:space="preserve"> </w:t>
            </w:r>
            <w:r>
              <w:t xml:space="preserve">“</w:t>
            </w:r>
            <w:r>
              <w:t xml:space="preserve">Offer Structure</w:t>
            </w:r>
            <w:r>
              <w:t xml:space="preserve">”</w:t>
            </w:r>
            <w:r>
              <w:t xml:space="preserve"> </w:t>
            </w:r>
            <w:r>
              <w:t xml:space="preserve">on page 417.</w:t>
            </w:r>
          </w:p>
        </w:tc>
      </w:tr>
      <w:tr>
        <w:tc>
          <w:tcPr/>
          <w:p>
            <w:pPr>
              <w:pStyle w:val="Compact"/>
              <w:jc w:val="center"/>
            </w:pPr>
            <w:r>
              <w:t xml:space="preserve">DETAILS OF THE PROMOTER SELLING SHAREHOLDERS, Wayne Enterprises SALE AND WEIGHTED AVERAGE COST OF ACQUISITION PER EQUITY SHARE</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NAME OF THE PROMOTER SELLINGSHAREHOLDER</w:t>
            </w:r>
          </w:p>
        </w:tc>
        <w:tc>
          <w:tcPr/>
          <w:p>
            <w:pPr>
              <w:pStyle w:val="Compact"/>
              <w:jc w:val="center"/>
            </w:pPr>
            <w:r>
              <w:t xml:space="preserve">TYPE</w:t>
            </w:r>
          </w:p>
        </w:tc>
        <w:tc>
          <w:tcPr/>
          <w:p>
            <w:pPr>
              <w:pStyle w:val="Compact"/>
              <w:jc w:val="center"/>
            </w:pPr>
            <w:r>
              <w:t xml:space="preserve">AGGREGATE AMOUNT OF OFFER FOR SALE (₹ IN MILLION)</w:t>
            </w:r>
          </w:p>
        </w:tc>
        <w:tc>
          <w:tcPr/>
          <w:p>
            <w:pPr>
              <w:pStyle w:val="Compact"/>
              <w:jc w:val="center"/>
            </w:pPr>
            <w:r>
              <w:t xml:space="preserve">WEIGHTED AVERAGE COST OF ACQUISITION PER EQUITY SHARE OF FACE VALUE OF ₹5 EACH (IN ₹) *#</w:t>
            </w:r>
          </w:p>
        </w:tc>
        <w:tc>
          <w:tcPr/>
          <w:p>
            <w:pPr>
              <w:pStyle w:val="Compact"/>
            </w:pPr>
          </w:p>
        </w:tc>
      </w:tr>
      <w:tr>
        <w:tc>
          <w:tcPr/>
          <w:p>
            <w:pPr>
              <w:pStyle w:val="Compact"/>
              <w:jc w:val="center"/>
            </w:pPr>
            <w:r>
              <w:t xml:space="preserve">Mary Brown</w:t>
            </w:r>
          </w:p>
        </w:tc>
        <w:tc>
          <w:tcPr/>
          <w:p>
            <w:pPr>
              <w:pStyle w:val="Compact"/>
              <w:jc w:val="center"/>
            </w:pPr>
            <w:r>
              <w:t xml:space="preserve">Promoter Selling Shareholder</w:t>
            </w:r>
          </w:p>
        </w:tc>
        <w:tc>
          <w:tcPr/>
          <w:p>
            <w:pPr>
              <w:pStyle w:val="Compact"/>
              <w:jc w:val="center"/>
            </w:pPr>
            <w:r>
              <w:t xml:space="preserve">1,528.00</w:t>
            </w:r>
          </w:p>
        </w:tc>
        <w:tc>
          <w:tcPr/>
          <w:p>
            <w:pPr>
              <w:pStyle w:val="Compact"/>
              <w:jc w:val="center"/>
            </w:pPr>
            <w:r>
              <w:t xml:space="preserve">1.36</w:t>
            </w:r>
          </w:p>
        </w:tc>
        <w:tc>
          <w:tcPr/>
          <w:p>
            <w:pPr>
              <w:pStyle w:val="Compact"/>
            </w:pPr>
          </w:p>
        </w:tc>
      </w:tr>
      <w:tr>
        <w:tc>
          <w:tcPr/>
          <w:p>
            <w:pPr>
              <w:pStyle w:val="Compact"/>
              <w:jc w:val="center"/>
            </w:pPr>
            <w:r>
              <w:t xml:space="preserve">Mary Wilson</w:t>
            </w:r>
          </w:p>
        </w:tc>
        <w:tc>
          <w:tcPr/>
          <w:p>
            <w:pPr>
              <w:pStyle w:val="Compact"/>
              <w:jc w:val="center"/>
            </w:pPr>
            <w:r>
              <w:t xml:space="preserve">Promoter Selling Shareholder</w:t>
            </w:r>
          </w:p>
        </w:tc>
        <w:tc>
          <w:tcPr/>
          <w:p>
            <w:pPr>
              <w:pStyle w:val="Compact"/>
              <w:jc w:val="center"/>
            </w:pPr>
            <w:r>
              <w:t xml:space="preserve">422.00</w:t>
            </w:r>
          </w:p>
        </w:tc>
        <w:tc>
          <w:tcPr/>
          <w:p>
            <w:pPr>
              <w:pStyle w:val="Compact"/>
              <w:jc w:val="center"/>
            </w:pPr>
            <w:r>
              <w:t xml:space="preserve">1.51</w:t>
            </w:r>
          </w:p>
        </w:tc>
        <w:tc>
          <w:tcPr/>
          <w:p>
            <w:pPr>
              <w:pStyle w:val="Compact"/>
            </w:pPr>
          </w:p>
        </w:tc>
      </w:tr>
      <w:tr>
        <w:tc>
          <w:tcPr/>
          <w:p>
            <w:pPr>
              <w:pStyle w:val="Compact"/>
              <w:jc w:val="center"/>
            </w:pPr>
            <w:r>
              <w:t xml:space="preserve">Mary Lee</w:t>
            </w:r>
          </w:p>
        </w:tc>
        <w:tc>
          <w:tcPr/>
          <w:p>
            <w:pPr>
              <w:pStyle w:val="Compact"/>
              <w:jc w:val="center"/>
            </w:pPr>
            <w:r>
              <w:t xml:space="preserve">Promoter Selling Shareholder</w:t>
            </w:r>
          </w:p>
        </w:tc>
        <w:tc>
          <w:tcPr/>
          <w:p>
            <w:pPr>
              <w:pStyle w:val="Compact"/>
              <w:jc w:val="center"/>
            </w:pPr>
            <w:r>
              <w:t xml:space="preserve">475.00</w:t>
            </w:r>
          </w:p>
        </w:tc>
        <w:tc>
          <w:tcPr/>
          <w:p>
            <w:pPr>
              <w:pStyle w:val="Compact"/>
              <w:jc w:val="center"/>
            </w:pPr>
            <w:r>
              <w:t xml:space="preserve">1.41</w:t>
            </w:r>
          </w:p>
        </w:tc>
        <w:tc>
          <w:tcPr/>
          <w:p>
            <w:pPr>
              <w:pStyle w:val="Compact"/>
            </w:pPr>
          </w:p>
        </w:tc>
      </w:tr>
      <w:tr>
        <w:tc>
          <w:tcPr/>
          <w:p>
            <w:pPr>
              <w:pStyle w:val="Compact"/>
              <w:jc w:val="center"/>
            </w:pPr>
            <w:r>
              <w:t xml:space="preserve">Mary Smith</w:t>
            </w:r>
          </w:p>
        </w:tc>
        <w:tc>
          <w:tcPr/>
          <w:p>
            <w:pPr>
              <w:pStyle w:val="Compact"/>
              <w:jc w:val="center"/>
            </w:pPr>
            <w:r>
              <w:t xml:space="preserve">Promoter Selling Shareholder</w:t>
            </w:r>
          </w:p>
        </w:tc>
        <w:tc>
          <w:tcPr/>
          <w:p>
            <w:pPr>
              <w:pStyle w:val="Compact"/>
              <w:jc w:val="center"/>
            </w:pPr>
            <w:r>
              <w:t xml:space="preserve">475.00</w:t>
            </w:r>
          </w:p>
        </w:tc>
        <w:tc>
          <w:tcPr/>
          <w:p>
            <w:pPr>
              <w:pStyle w:val="Compact"/>
              <w:jc w:val="center"/>
            </w:pPr>
            <w:r>
              <w:t xml:space="preserve">1.35</w:t>
            </w:r>
          </w:p>
        </w:tc>
        <w:tc>
          <w:tcPr/>
          <w:p>
            <w:pPr>
              <w:pStyle w:val="Compact"/>
            </w:pPr>
          </w:p>
        </w:tc>
      </w:tr>
      <w:tr>
        <w:tc>
          <w:tcPr/>
          <w:p>
            <w:pPr>
              <w:pStyle w:val="Compact"/>
              <w:jc w:val="center"/>
            </w:pPr>
            <w:r>
              <w:t xml:space="preserve">*As certified by Initech LLC, Chartered Accountants, our Wonka Ltd, by way of their certificate dated December 10, 2025. For further details, see</w:t>
            </w:r>
            <w:r>
              <w:t xml:space="preserve"> </w:t>
            </w:r>
            <w:r>
              <w:t xml:space="preserve">“</w:t>
            </w:r>
            <w:r>
              <w:t xml:space="preserve">Summary of the Offer Document – Average cost of acquisition of Globex Inc by our Promoters and the Promoter Selling Shareholders</w:t>
            </w:r>
            <w:r>
              <w:t xml:space="preserve">”</w:t>
            </w:r>
            <w:r>
              <w:t xml:space="preserve"> </w:t>
            </w:r>
            <w:r>
              <w:t xml:space="preserve">on page 26.#As adjusted for Split of Equity Shares and Bonus Issue.</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RISKS IN RELATION TO THE FIRST OFFER</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This being the first public offering of equity shares of our Company, there has been no formal market for the Equity Shares. The face value of the Equity Shares is ₹5 each. The Floor Price, Cap Price and Offer Price (as determined by our Company, in consultation with the Book Running Lead Managers, in accordance with the SEBI ICDR Regulations) and on the basis of the assessment of market demand for the Equity Shares by way of the Book Building Process, as stated under</w:t>
            </w:r>
            <w:r>
              <w:t xml:space="preserve"> </w:t>
            </w:r>
            <w:r>
              <w:t xml:space="preserve">“</w:t>
            </w:r>
            <w:r>
              <w:t xml:space="preserve">Basis for the Offer Price</w:t>
            </w:r>
            <w:r>
              <w:t xml:space="preserve">”</w:t>
            </w:r>
            <w:r>
              <w:t xml:space="preserve"> </w:t>
            </w:r>
            <w:r>
              <w:t xml:space="preserve">on page 124, should not be considered to be indicative of the market price of the Equity Shares after the Equity Shares are listed. No assurance can be given regarding an active an d/or sustainedtrading in the Equity Shares nor regarding the price at which the Equity Shares will be traded after listing.</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GENERAL RISKS</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Offer, including the risks involved. The Equity Shares offered in the Offer have not been recommended or approved by Stark Industries of</w:t>
            </w:r>
          </w:p>
        </w:tc>
        <w:tc>
          <w:tcPr/>
          <w:p>
            <w:pPr>
              <w:pStyle w:val="Compact"/>
            </w:pPr>
          </w:p>
        </w:tc>
        <w:tc>
          <w:tcPr/>
          <w:p>
            <w:pPr>
              <w:pStyle w:val="Compact"/>
            </w:pPr>
          </w:p>
        </w:tc>
        <w:tc>
          <w:tcPr/>
          <w:p>
            <w:pPr>
              <w:pStyle w:val="Compact"/>
            </w:pPr>
          </w:p>
        </w:tc>
        <w:tc>
          <w:tcPr/>
          <w:p>
            <w:pPr>
              <w:pStyle w:val="Compact"/>
            </w:pPr>
          </w:p>
        </w:tc>
      </w:tr>
    </w:tbl>
    <w:p/>
    <w:tbl>
      <w:tblPr>
        <w:tblStyle w:val="Table"/>
        <w:tblW w:type="pct" w:w="5000"/>
        <w:tblLook w:firstRow="0" w:lastRow="0" w:firstColumn="0" w:lastColumn="0" w:noHBand="0" w:noVBand="0" w:val="0000"/>
        <w:jc w:val="start"/>
      </w:tblPr>
      <w:tblGrid>
        <w:gridCol w:w="1320"/>
        <w:gridCol w:w="1320"/>
        <w:gridCol w:w="1320"/>
        <w:gridCol w:w="1320"/>
        <w:gridCol w:w="1320"/>
        <w:gridCol w:w="1320"/>
      </w:tblGrid>
      <w:tr>
        <w:tc>
          <w:tcPr/>
          <w:p>
            <w:pPr>
              <w:pStyle w:val="Compact"/>
              <w:jc w:val="center"/>
            </w:pPr>
            <w:r>
              <w:t xml:space="preserve">India (</w:t>
            </w:r>
            <w:r>
              <w:t xml:space="preserve">“</w:t>
            </w:r>
            <w:r>
              <w:t xml:space="preserve">SEBI</w:t>
            </w:r>
            <w:r>
              <w:t xml:space="preserve">”</w:t>
            </w:r>
            <w:r>
              <w:t xml:space="preserve">), nor does SEBI guarantee the accuracy or adequacy of the contents of this Red Herring Prospectus. Specific attention of the investors is invited to</w:t>
            </w:r>
            <w:r>
              <w:t xml:space="preserve"> </w:t>
            </w:r>
            <w:r>
              <w:t xml:space="preserve">“</w:t>
            </w:r>
            <w:r>
              <w:t xml:space="preserve">Risk Factors</w:t>
            </w:r>
            <w:r>
              <w:t xml:space="preserve">”</w:t>
            </w:r>
            <w:r>
              <w:t xml:space="preserve"> </w:t>
            </w:r>
            <w:r>
              <w:t xml:space="preserve">on page 28.</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ISSUER’S AND PROMOTER SELLING SHAREHOLDERS’ ABSOLUTE RESPONSIBILITY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Our Company, having made all reasonable inquiries, accepts responsibility for and confirms that this Red Herring Prospectus contains all information with regard to our Company and the Offer,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the Promoter Selling Shareholders, severally and not jointly, accepts responsibility for and confirms the statements specifically made or confirmed by them in this Red Herring Prospectus solely to the extent of information specifically pertaining to themselves and the Globex Inc offered by them in 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 inter alia, any and all of the statements made by or relating to our Company or its business or any other Umbrella Ltd any other person, in this Red Herring Prospectus.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LISTING</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The Equity Shares offered through this Red Herring Prospectus are proposed to be listed on Initech LLC (</w:t>
            </w:r>
            <w:r>
              <w:t xml:space="preserve">“</w:t>
            </w:r>
            <w:r>
              <w:t xml:space="preserve">BSE</w:t>
            </w:r>
            <w:r>
              <w:t xml:space="preserve">”</w:t>
            </w:r>
            <w:r>
              <w:t xml:space="preserve">) and Umbrella Ltd India Limited (</w:t>
            </w:r>
            <w:r>
              <w:t xml:space="preserve">“</w:t>
            </w:r>
            <w:r>
              <w:t xml:space="preserve">NSE</w:t>
            </w:r>
            <w:r>
              <w:t xml:space="preserve">”</w:t>
            </w:r>
            <w:r>
              <w:t xml:space="preserve">, together with BSE, the</w:t>
            </w:r>
            <w:r>
              <w:t xml:space="preserve"> </w:t>
            </w:r>
            <w:r>
              <w:t xml:space="preserve">“</w:t>
            </w:r>
            <w:r>
              <w:t xml:space="preserve">Stock Exchanges</w:t>
            </w:r>
            <w:r>
              <w:t xml:space="preserve">”</w:t>
            </w:r>
            <w:r>
              <w:t xml:space="preserve">). For the purposes of the Offer, Vandelay Industries is BSE.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BOOK RUNNING LEAD MANAGERS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NAME AND LOGO OF THE BOOK RUNNING LEAD MANAGER</w:t>
            </w:r>
          </w:p>
        </w:tc>
        <w:tc>
          <w:tcPr/>
          <w:p>
            <w:pPr>
              <w:pStyle w:val="Compact"/>
              <w:jc w:val="center"/>
            </w:pPr>
            <w:r>
              <w:t xml:space="preserve">CONTACT PERSON</w:t>
            </w:r>
          </w:p>
        </w:tc>
        <w:tc>
          <w:tcPr/>
          <w:p>
            <w:pPr>
              <w:pStyle w:val="Compact"/>
              <w:jc w:val="center"/>
            </w:pPr>
            <w:r>
              <w:t xml:space="preserve">EMAIL AND TELEPHONE</w:t>
            </w:r>
          </w:p>
        </w:tc>
        <w:tc>
          <w:tcPr/>
          <w:p>
            <w:pPr>
              <w:pStyle w:val="Compact"/>
            </w:pPr>
          </w:p>
        </w:tc>
        <w:tc>
          <w:tcPr/>
          <w:p>
            <w:pPr>
              <w:pStyle w:val="Compact"/>
            </w:pPr>
          </w:p>
        </w:tc>
        <w:tc>
          <w:tcPr/>
          <w:p>
            <w:pPr>
              <w:pStyle w:val="Compact"/>
            </w:pPr>
          </w:p>
        </w:tc>
      </w:tr>
      <w:tr>
        <w:tc>
          <w:tcPr/>
          <w:p>
            <w:pPr>
              <w:pStyle w:val="Compact"/>
            </w:pPr>
          </w:p>
        </w:tc>
        <w:tc>
          <w:tcPr/>
          <w:p>
            <w:pPr>
              <w:pStyle w:val="Compact"/>
              <w:jc w:val="center"/>
            </w:pPr>
            <w:r>
              <w:t xml:space="preserve">Stark Industries</w:t>
            </w:r>
          </w:p>
        </w:tc>
        <w:tc>
          <w:tcPr/>
          <w:p>
            <w:pPr>
              <w:pStyle w:val="Compact"/>
              <w:jc w:val="center"/>
            </w:pPr>
            <w:r>
              <w:t xml:space="preserve">Lokesh Shah/ Soumavo Sarkar</w:t>
            </w:r>
          </w:p>
        </w:tc>
        <w:tc>
          <w:tcPr/>
          <w:p>
            <w:pPr>
              <w:pStyle w:val="Compact"/>
              <w:jc w:val="center"/>
            </w:pPr>
            <w:r>
              <w:t xml:space="preserve">Email:</w:t>
            </w:r>
            <w:r>
              <w:t xml:space="preserve"> </w:t>
            </w:r>
            <w:hyperlink r:id="rId21">
              <w:r>
                <w:rPr>
                  <w:rStyle w:val="Hyperlink"/>
                </w:rPr>
                <w:t xml:space="preserve">peter.walker@example.com</w:t>
              </w:r>
            </w:hyperlink>
            <w:r>
              <w:t xml:space="preserve">Telephone: +91 31509 83930</w:t>
            </w:r>
          </w:p>
        </w:tc>
        <w:tc>
          <w:tcPr/>
          <w:p>
            <w:pPr>
              <w:pStyle w:val="Compact"/>
            </w:pPr>
          </w:p>
        </w:tc>
        <w:tc>
          <w:tcPr/>
          <w:p>
            <w:pPr>
              <w:pStyle w:val="Compact"/>
            </w:pPr>
          </w:p>
        </w:tc>
      </w:tr>
      <w:tr>
        <w:tc>
          <w:tcPr/>
          <w:p>
            <w:pPr>
              <w:pStyle w:val="Compact"/>
            </w:pPr>
          </w:p>
        </w:tc>
        <w:tc>
          <w:tcPr/>
          <w:p>
            <w:pPr>
              <w:pStyle w:val="Compact"/>
              <w:jc w:val="center"/>
            </w:pPr>
            <w:r>
              <w:t xml:space="preserve">ICICI Globex Inc</w:t>
            </w:r>
          </w:p>
        </w:tc>
        <w:tc>
          <w:tcPr/>
          <w:p>
            <w:pPr>
              <w:pStyle w:val="Compact"/>
              <w:jc w:val="center"/>
            </w:pPr>
            <w:r>
              <w:t xml:space="preserve">Kishan Rastogi/ Taylor Hall</w:t>
            </w:r>
          </w:p>
        </w:tc>
        <w:tc>
          <w:tcPr/>
          <w:p>
            <w:pPr>
              <w:pStyle w:val="Compact"/>
              <w:jc w:val="center"/>
            </w:pPr>
            <w:r>
              <w:t xml:space="preserve">Email:</w:t>
            </w:r>
            <w:r>
              <w:t xml:space="preserve"> </w:t>
            </w:r>
            <w:hyperlink r:id="rId22">
              <w:r>
                <w:rPr>
                  <w:rStyle w:val="Hyperlink"/>
                </w:rPr>
                <w:t xml:space="preserve">peter.smith@example.com</w:t>
              </w:r>
            </w:hyperlink>
            <w:r>
              <w:t xml:space="preserve">Telephone: +91 82814 89325</w:t>
            </w:r>
          </w:p>
        </w:tc>
        <w:tc>
          <w:tcPr/>
          <w:p>
            <w:pPr>
              <w:pStyle w:val="Compact"/>
            </w:pPr>
          </w:p>
        </w:tc>
        <w:tc>
          <w:tcPr/>
          <w:p>
            <w:pPr>
              <w:pStyle w:val="Compact"/>
            </w:pPr>
          </w:p>
        </w:tc>
      </w:tr>
      <w:tr>
        <w:tc>
          <w:tcPr/>
          <w:p>
            <w:pPr>
              <w:pStyle w:val="Compact"/>
              <w:jc w:val="center"/>
            </w:pPr>
            <w:r>
              <w:t xml:space="preserve">REGISTRAR TO THE OFFER</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NAME OF THE REGISTRAR</w:t>
            </w:r>
          </w:p>
        </w:tc>
        <w:tc>
          <w:tcPr/>
          <w:p>
            <w:pPr>
              <w:pStyle w:val="Compact"/>
              <w:jc w:val="center"/>
            </w:pPr>
            <w:r>
              <w:t xml:space="preserve">CONTACT PERSON</w:t>
            </w:r>
          </w:p>
        </w:tc>
        <w:tc>
          <w:tcPr/>
          <w:p>
            <w:pPr>
              <w:pStyle w:val="Compact"/>
              <w:jc w:val="center"/>
            </w:pPr>
            <w:r>
              <w:t xml:space="preserve">TELEPHONE AND EMAIL</w:t>
            </w:r>
          </w:p>
        </w:tc>
        <w:tc>
          <w:tcPr/>
          <w:p>
            <w:pPr>
              <w:pStyle w:val="Compact"/>
            </w:pPr>
          </w:p>
        </w:tc>
        <w:tc>
          <w:tcPr/>
          <w:p>
            <w:pPr>
              <w:pStyle w:val="Compact"/>
            </w:pPr>
          </w:p>
        </w:tc>
        <w:tc>
          <w:tcPr/>
          <w:p>
            <w:pPr>
              <w:pStyle w:val="Compact"/>
            </w:pPr>
          </w:p>
        </w:tc>
      </w:tr>
      <w:tr>
        <w:tc>
          <w:tcPr/>
          <w:p>
            <w:pPr>
              <w:pStyle w:val="Compact"/>
              <w:jc w:val="center"/>
            </w:pPr>
            <w:r>
              <w:t xml:space="preserve">Acme Corp)</w:t>
            </w:r>
          </w:p>
        </w:tc>
        <w:tc>
          <w:tcPr/>
          <w:p>
            <w:pPr>
              <w:pStyle w:val="Compact"/>
              <w:jc w:val="center"/>
            </w:pPr>
            <w:r>
              <w:t xml:space="preserve">Peter Doe</w:t>
            </w:r>
          </w:p>
        </w:tc>
        <w:tc>
          <w:tcPr/>
          <w:p>
            <w:pPr>
              <w:pStyle w:val="Compact"/>
              <w:jc w:val="center"/>
            </w:pPr>
            <w:r>
              <w:t xml:space="preserve">Telephone: +91 81081 14949E-mail:</w:t>
            </w:r>
            <w:r>
              <w:t xml:space="preserve"> </w:t>
            </w:r>
            <w:hyperlink r:id="rId22">
              <w:r>
                <w:rPr>
                  <w:rStyle w:val="Hyperlink"/>
                </w:rPr>
                <w:t xml:space="preserve">peter.parker@example.com</w:t>
              </w:r>
            </w:hyperlink>
          </w:p>
        </w:tc>
        <w:tc>
          <w:tcPr/>
          <w:p>
            <w:pPr>
              <w:pStyle w:val="Compact"/>
            </w:pPr>
          </w:p>
        </w:tc>
        <w:tc>
          <w:tcPr/>
          <w:p>
            <w:pPr>
              <w:pStyle w:val="Compact"/>
            </w:pPr>
          </w:p>
        </w:tc>
        <w:tc>
          <w:tcPr/>
          <w:p>
            <w:pPr>
              <w:pStyle w:val="Compact"/>
            </w:pPr>
          </w:p>
        </w:tc>
      </w:tr>
      <w:tr>
        <w:tc>
          <w:tcPr/>
          <w:p>
            <w:pPr>
              <w:pStyle w:val="Compact"/>
              <w:jc w:val="center"/>
            </w:pPr>
            <w:r>
              <w:t xml:space="preserve">BID/OFFER PERIOD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ANCHOR INVESTOR BIDDING DATE(1)</w:t>
            </w:r>
          </w:p>
        </w:tc>
        <w:tc>
          <w:tcPr/>
          <w:p>
            <w:pPr>
              <w:pStyle w:val="Compact"/>
              <w:jc w:val="center"/>
            </w:pPr>
            <w:r>
              <w:t xml:space="preserve">Monday, December 15,2025</w:t>
            </w:r>
          </w:p>
        </w:tc>
        <w:tc>
          <w:tcPr/>
          <w:p>
            <w:pPr>
              <w:pStyle w:val="Compact"/>
              <w:jc w:val="center"/>
            </w:pPr>
            <w:r>
              <w:t xml:space="preserve">BID/OFFE R OPENSON</w:t>
            </w:r>
          </w:p>
        </w:tc>
        <w:tc>
          <w:tcPr/>
          <w:p>
            <w:pPr>
              <w:pStyle w:val="Compact"/>
              <w:jc w:val="center"/>
            </w:pPr>
            <w:r>
              <w:t xml:space="preserve">Tuesday, December16, 2025</w:t>
            </w:r>
          </w:p>
        </w:tc>
        <w:tc>
          <w:tcPr/>
          <w:p>
            <w:pPr>
              <w:pStyle w:val="Compact"/>
              <w:jc w:val="center"/>
            </w:pPr>
            <w:r>
              <w:t xml:space="preserve">BID/OFFER CLOSES ON(2)</w:t>
            </w:r>
          </w:p>
        </w:tc>
        <w:tc>
          <w:tcPr/>
          <w:p>
            <w:pPr>
              <w:pStyle w:val="Compact"/>
              <w:jc w:val="center"/>
            </w:pPr>
            <w:r>
              <w:t xml:space="preserve">Thursday, December 18, 2025</w:t>
            </w:r>
          </w:p>
        </w:tc>
      </w:tr>
    </w:tbl>
    <w:p>
      <w:pPr>
        <w:numPr>
          <w:ilvl w:val="0"/>
          <w:numId w:val="1001"/>
        </w:numPr>
      </w:pPr>
      <w:r>
        <w:t xml:space="preserve">Our Company, in consultation with the Book Running Lead Managers, may consider participation by Anchor Investors in accordance with the SEBI ICDR Regulations.</w:t>
      </w:r>
    </w:p>
    <w:p>
      <w:pPr>
        <w:numPr>
          <w:ilvl w:val="0"/>
          <w:numId w:val="1001"/>
        </w:numPr>
      </w:pPr>
      <w:r>
        <w:t xml:space="preserve">The UPI mandate end time and date shall be at 5:00 p.m. on Bid/Offer Closing Day.</w:t>
      </w:r>
    </w:p>
    <w:p>
      <w:pPr>
        <w:pStyle w:val="FirstParagraph"/>
      </w:pPr>
      <w:r>
        <w:t xml:space="preserve">RED HERRING PROSPECTUS</w:t>
      </w:r>
    </w:p>
    <w:p>
      <w:pPr>
        <w:pStyle w:val="BodyText"/>
      </w:pPr>
      <w:r>
        <w:t xml:space="preserve">Dated December 10, 2025 Please read section 32 of the Companies Act, 2013</w:t>
      </w:r>
    </w:p>
    <w:p>
      <w:pPr>
        <w:pStyle w:val="BodyText"/>
      </w:pPr>
      <w:r>
        <w:t xml:space="preserve">100% Book Built Offer</w:t>
      </w:r>
    </w:p>
    <w:p>
      <w:pPr>
        <w:pStyle w:val="BodyText"/>
      </w:pPr>
      <w:r>
        <w:t xml:space="preserve">KSH INTERNATIONAL LIMITED</w:t>
      </w:r>
    </w:p>
    <w:p>
      <w:pPr>
        <w:pStyle w:val="BodyText"/>
      </w:pPr>
      <w:r>
        <w:t xml:space="preserve">Our Company was originally incorporated as</w:t>
      </w:r>
      <w:r>
        <w:t xml:space="preserve"> </w:t>
      </w:r>
      <w:r>
        <w:t xml:space="preserve">“</w:t>
      </w:r>
      <w:r>
        <w:t xml:space="preserve">Acme Corp</w:t>
      </w:r>
      <w:r>
        <w:t xml:space="preserve">”</w:t>
      </w:r>
      <w:r>
        <w:t xml:space="preserve"> </w:t>
      </w:r>
      <w:r>
        <w:t xml:space="preserve">under the provisions of the Companies Act, 1956, pursuant to a certificate of incorporation dated July 30, 1979, issued by the Registrar of Companies, Maharashtra at Bombay. Subsequently, the name of our Company was changed from</w:t>
      </w:r>
      <w:r>
        <w:t xml:space="preserve"> </w:t>
      </w:r>
      <w:r>
        <w:t xml:space="preserve">“</w:t>
      </w:r>
      <w:r>
        <w:t xml:space="preserve">Acme Corp</w:t>
      </w:r>
      <w:r>
        <w:t xml:space="preserve">”</w:t>
      </w:r>
      <w:r>
        <w:t xml:space="preserve"> </w:t>
      </w:r>
      <w:r>
        <w:t xml:space="preserve">to</w:t>
      </w:r>
      <w:r>
        <w:t xml:space="preserve"> </w:t>
      </w:r>
      <w:r>
        <w:t xml:space="preserve">“</w:t>
      </w:r>
      <w:r>
        <w:t xml:space="preserve">Wonka Ltd</w:t>
      </w:r>
      <w:r>
        <w:t xml:space="preserve">”</w:t>
      </w:r>
      <w:r>
        <w:t xml:space="preserve"> </w:t>
      </w:r>
      <w:r>
        <w:t xml:space="preserve">pursuant to a resolution dated June 1, 1996 passed by our Board and a resolution dated June 24, 1996 passed by our shareholders, post which a fresh certificate of incorporation dated July 4, 1996 was issued by Registrar of Companies Maharashtra at Mumbai pursuant to change of name under the Companies Act, 1956. Further, pursuant to a special resolution passed by our Shareholders on January 13, 2011 which was confirmed by an order of the regional director dated August 16, 2011, the registered office of our Company was shifted from the jurisdiction of Registrar of Companies, Maharashtra at Mumbai to the jurisdiction of the Registrar of Companies, Maharashtra at Pune, and a certificate of registration of the order of regional director confirming transfer of the registered office within the same state was issued to us on October 13, 2011, by the RoC. On the conversion of our Company from a private limited company to a public limited company, pursuant to a resolution passed by our Board on December 11, 2024 and a special resolution passed by our Shareholders on December 19, 2024, the name of our Company was changed to</w:t>
      </w:r>
      <w:r>
        <w:t xml:space="preserve"> </w:t>
      </w:r>
      <w:r>
        <w:t xml:space="preserve">“</w:t>
      </w:r>
      <w:r>
        <w:t xml:space="preserve">Globex Inc</w:t>
      </w:r>
      <w:r>
        <w:t xml:space="preserve">”</w:t>
      </w:r>
      <w:r>
        <w:t xml:space="preserve"> </w:t>
      </w:r>
      <w:r>
        <w:t xml:space="preserve">and a fresh certificate of incorporation was issued by the Registrar of Companies, Central Processing Centre on January 20, 2025. For further details of changes in the registered office of our Company, see</w:t>
      </w:r>
      <w:r>
        <w:t xml:space="preserve"> </w:t>
      </w:r>
      <w:r>
        <w:t xml:space="preserve">“</w:t>
      </w:r>
      <w:r>
        <w:t xml:space="preserve">History and Certain Corporate Matters- Change in our registered office</w:t>
      </w:r>
      <w:r>
        <w:t xml:space="preserve">”</w:t>
      </w:r>
      <w:r>
        <w:t xml:space="preserve"> </w:t>
      </w:r>
      <w:r>
        <w:t xml:space="preserve">on page 243.</w:t>
      </w:r>
    </w:p>
    <w:p>
      <w:pPr>
        <w:pStyle w:val="BodyText"/>
      </w:pPr>
      <w:r>
        <w:t xml:space="preserve">Corporate Identity Number: U28129PN1979PLC141032</w:t>
      </w:r>
    </w:p>
    <w:p>
      <w:pPr>
        <w:pStyle w:val="BodyText"/>
      </w:pPr>
      <w:r>
        <w:t xml:space="preserve">Registered Office: 11/3, 11/4 and 100 Cedar Lane, Lakeside, Maharashtra, India;</w:t>
      </w:r>
    </w:p>
    <w:p>
      <w:pPr>
        <w:pStyle w:val="BodyText"/>
      </w:pPr>
      <w:r>
        <w:t xml:space="preserve">Corporate Office: 100 Birch Boulevard, Rivertown, Maharashtra, India;</w:t>
      </w:r>
    </w:p>
    <w:p>
      <w:pPr>
        <w:pStyle w:val="BodyText"/>
      </w:pPr>
      <w:r>
        <w:t xml:space="preserve">Contact Person: Peter Young, Company Secretary and Compliance Officer; Telephone: + 83465 78713;</w:t>
      </w:r>
    </w:p>
    <w:p>
      <w:pPr>
        <w:pStyle w:val="BodyText"/>
      </w:pPr>
      <w:r>
        <w:t xml:space="preserve">E-mail:</w:t>
      </w:r>
      <w:r>
        <w:t xml:space="preserve"> </w:t>
      </w:r>
      <w:hyperlink r:id="rId20">
        <w:r>
          <w:rPr>
            <w:rStyle w:val="Hyperlink"/>
          </w:rPr>
          <w:t xml:space="preserve">taylor.walker@example.com</w:t>
        </w:r>
      </w:hyperlink>
      <w:r>
        <w:t xml:space="preserve">; Website:</w:t>
      </w:r>
      <w:r>
        <w:t xml:space="preserve"> </w:t>
      </w:r>
      <w:hyperlink r:id="rId23">
        <w:r>
          <w:rPr>
            <w:rStyle w:val="Hyperlink"/>
          </w:rPr>
          <w:t xml:space="preserve">www.kshinternational.com</w:t>
        </w:r>
      </w:hyperlink>
    </w:p>
    <w:tbl>
      <w:tblPr>
        <w:tblStyle w:val="Table"/>
        <w:tblW w:type="pct" w:w="5000"/>
        <w:tblLook w:firstRow="0" w:lastRow="0" w:firstColumn="0" w:lastColumn="0" w:noHBand="0" w:noVBand="0" w:val="0000"/>
        <w:jc w:val="start"/>
      </w:tblPr>
      <w:tblGrid>
        <w:gridCol w:w="1320"/>
        <w:gridCol w:w="1320"/>
        <w:gridCol w:w="1320"/>
        <w:gridCol w:w="1320"/>
        <w:gridCol w:w="1320"/>
        <w:gridCol w:w="1320"/>
      </w:tblGrid>
      <w:tr>
        <w:tc>
          <w:tcPr/>
          <w:p>
            <w:pPr>
              <w:pStyle w:val="Compact"/>
              <w:jc w:val="center"/>
            </w:pPr>
            <w:r>
              <w:t xml:space="preserve">OUR PROMOTERS: Mary Brown, Mary Wilson, Mary Lee, ROHIT Alex Hall, RAKHI GIRIJA SHETTY, DHAULAGIRI FAMILY TRUST, Wonka Ltd, Acme Corp, Hooli Inc, Soylent Corp, Vandelay Industries AND WATERLOO INDUSTRIAL PARK VI PRIVATE LIMITED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INITIAL PUBLIC OFFERING OF UP TO [●] EQUITY SHARES OF FACE VALUE OF ₹5 EACH (</w:t>
            </w:r>
            <w:r>
              <w:t xml:space="preserve">“</w:t>
            </w:r>
            <w:r>
              <w:t xml:space="preserve">EQUITY SHARES</w:t>
            </w:r>
            <w:r>
              <w:t xml:space="preserve">”</w:t>
            </w:r>
            <w:r>
              <w:t xml:space="preserve">) OF Globex Inc (</w:t>
            </w:r>
            <w:r>
              <w:t xml:space="preserve">“</w:t>
            </w:r>
            <w:r>
              <w:t xml:space="preserve">COMPANY</w:t>
            </w:r>
            <w:r>
              <w:t xml:space="preserve">”</w:t>
            </w:r>
            <w:r>
              <w:t xml:space="preserve"> </w:t>
            </w:r>
            <w:r>
              <w:t xml:space="preserve">OR</w:t>
            </w:r>
            <w:r>
              <w:t xml:space="preserve"> </w:t>
            </w:r>
            <w:r>
              <w:t xml:space="preserve">“</w:t>
            </w:r>
            <w:r>
              <w:t xml:space="preserve">ISSUER</w:t>
            </w:r>
            <w:r>
              <w:t xml:space="preserve">”</w:t>
            </w:r>
            <w:r>
              <w:t xml:space="preserve">) FOR CASH AT A PRICE OF ₹[●] PER EQUITY SHARE (INCLUDING A SHARE PREMIUM OF ₹[●] PER EQUITY SHARE) (</w:t>
            </w:r>
            <w:r>
              <w:t xml:space="preserve">“</w:t>
            </w:r>
            <w:r>
              <w:t xml:space="preserve">OFFER PRICE</w:t>
            </w:r>
            <w:r>
              <w:t xml:space="preserve">”</w:t>
            </w:r>
            <w:r>
              <w:t xml:space="preserve">) AGGREGATING UP TO ₹7,100.00 MILLION (THE</w:t>
            </w:r>
            <w:r>
              <w:t xml:space="preserve"> </w:t>
            </w:r>
            <w:r>
              <w:t xml:space="preserve">“</w:t>
            </w:r>
            <w:r>
              <w:t xml:space="preserve">OFFER</w:t>
            </w:r>
            <w:r>
              <w:t xml:space="preserve">”</w:t>
            </w:r>
            <w:r>
              <w:t xml:space="preserve">) COMPRISING A FRESH ISSUE OF UP TO [●] EQUITY SHARES OF FACE VALUE OF ₹5 EACH AGGREGATING UP TO ₹4,200.00 MILLION (</w:t>
            </w:r>
            <w:r>
              <w:t xml:space="preserve">“</w:t>
            </w:r>
            <w:r>
              <w:t xml:space="preserve">FRESH ISSUE</w:t>
            </w:r>
            <w:r>
              <w:t xml:space="preserve">”</w:t>
            </w:r>
            <w:r>
              <w:t xml:space="preserve">) AND AN OFFER FOR SALE OF UP TO [●] EQUITY SHARES OF FACE VALUE OF ₹[●] EACH (</w:t>
            </w:r>
            <w:r>
              <w:t xml:space="preserve">“</w:t>
            </w:r>
            <w:r>
              <w:t xml:space="preserve">OFFERED SHARES</w:t>
            </w:r>
            <w:r>
              <w:t xml:space="preserve">”</w:t>
            </w:r>
            <w:r>
              <w:t xml:space="preserve">) AGGREGATING UP TO ₹2,900.00 MILLION, COMPRISING UP TO [●] EQUITY SHARES OF FACE VALUE OF ₹5 EACH BY KUSHAL SUBBAYYA HEGDE AGGREGATING UP TO ₹1,528.00 MILLION, UP TO [●] EQUITY SHARES OF FACE VALUE OF ₹5 EACH BY PUSHPA KUSHAL HEGDE AGGREGATING UP TO ₹422.00 MILLION, UP TO [●] EQUITY SHARES OF FACE VALUE OF ₹5 EACH BY Mary Lee AGGREGATING UP TO ₹475.00 MILLION AND UP TO [●] EQUITY SHARES OF FACE VALUE OF ₹5 EACH BY ROHIT Alex Hall AGGREGATING UP TO₹475.00 MILLION (COLLECTIVELY,</w:t>
            </w:r>
            <w:r>
              <w:t xml:space="preserve"> </w:t>
            </w:r>
            <w:r>
              <w:t xml:space="preserve">“</w:t>
            </w:r>
            <w:r>
              <w:t xml:space="preserve">PROMOTER SELLING SHAREHOLDERS</w:t>
            </w:r>
            <w:r>
              <w:t xml:space="preserve">”</w:t>
            </w:r>
            <w:r>
              <w:t xml:space="preserve"> </w:t>
            </w:r>
            <w:r>
              <w:t xml:space="preserve">AND SUCH OFFER FOR Vandelay Industries EQUITY SHARES OF FACE VALUE OF ₹5 EACH BY THE PROMOTER SELLING SHAREHOLDERS, THE</w:t>
            </w:r>
            <w:r>
              <w:t xml:space="preserve"> </w:t>
            </w:r>
            <w:r>
              <w:t xml:space="preserve">“</w:t>
            </w:r>
            <w:r>
              <w:t xml:space="preserve">OFFER FOR SALE</w:t>
            </w:r>
            <w:r>
              <w:t xml:space="preserve">”</w:t>
            </w:r>
            <w:r>
              <w:t xml:space="preserve">). Soylent Corp [●]% OF THE POST-OFFER PAID UP Hooli Inc SHARES IS ₹5 EACH. THE OFFER PRICE IS [●] TIMES THE FACE VALUE OF THE EQUITY SHARES. THE PRICE BAND, AND MINIMUM BID LOT WILL BE DECIDED BY OUR COMPANY, IN CONSULTATION WITH THE BOOK RUNNING LEAD MANAGERS, AND WILL BE ADVERTISED IN ALL EDITIONS OF FINANCIAL EXPRESS (A WIDELY CIRCULATED ENGLISH NATIONAL DAILY NEWSPAPER), ALL EDITIONS OF JANSATTA (A WIDELY CIRCULATED HINDI NATIONAL DAILY NEWSPAPER) AND PUNE EDITION OF LOKSATTA (A Taylor Clark, MARATHI BEING THE REGIONAL LANGUAGE OF MAHARASHTRA WHERE OUR REGISTERED OFFICE IS LOCATED), AT LEAST TWO WORKING DAYS PRIOR TO THE BID/OFFER OPENING DATE AND SHALL BE MADE AVAILABLE TO THE STOCK EXCHANGES FOR UPLOADING ON THEIR RESPECTIVE WEBSITES IN ACCORDANCE WITH SECURITIES ANDEXCHANGE BOARD OF INDIA (ISSUE OF CAPITAL AND DISCLOSURE REQUIREMENTS) REGULATIONS, 2018, AS AMENDED (THE</w:t>
            </w:r>
            <w:r>
              <w:t xml:space="preserve"> </w:t>
            </w:r>
            <w:r>
              <w:t xml:space="preserve">“</w:t>
            </w:r>
            <w:r>
              <w:t xml:space="preserve">SEBI ICDR REGULATIONS</w:t>
            </w:r>
            <w:r>
              <w:t xml:space="preserve">”</w:t>
            </w: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In case of any revision in the Price Band, the Bid/Offer Period will be extended by at least three additional Working Days after such revision in the Price Band, subject to the Bid/Offer Period not exceeding 10 Working Days. In cases of force majeure, banking strike or similar unforeseen circumstances, our Company may, in consultation with the Book Running Lead Managers, for reasons to be recorded in writing, extend the Bid /Offer Period for a minimum of one Working Day, subject to the Bid/Offer Period not exceeding 10 Working Days. Any revision in the Price Band and the revised Bid/Offer Period, if applicable, shall be widely disseminated by notification to the Stock Exchanges, by issuing a press release, and also by indicating the change on the respective websites of the Book Running Lead Managers and at the terminals of the members of the Syndicate and by intimation to Wayne Enterprises and the Sponsor Banks,as applicable.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The Offer is being made in terms of Rule 19(2)(b) of the Securities Contracts (Regulation) Rules, 1957, as amended (the</w:t>
            </w:r>
            <w:r>
              <w:t xml:space="preserve"> </w:t>
            </w:r>
            <w:r>
              <w:t xml:space="preserve">“</w:t>
            </w:r>
            <w:r>
              <w:t xml:space="preserve">SCRR</w:t>
            </w:r>
            <w:r>
              <w:t xml:space="preserve">”</w:t>
            </w:r>
            <w:r>
              <w:t xml:space="preserve">), read with Regulation 31 of the SEBI ICDR Regulations. The Offer is being made through the Book Building Process in accordance with Regulation 6(1) of the SEBI ICDR Regulations wherein not more than 50% of the Offer shall be available for allocation on a proportionate basis to Wayne Enterprises (</w:t>
            </w:r>
            <w:r>
              <w:t xml:space="preserve">“</w:t>
            </w:r>
            <w:r>
              <w:t xml:space="preserve">QIBs</w:t>
            </w:r>
            <w:r>
              <w:t xml:space="preserve">”</w:t>
            </w:r>
            <w:r>
              <w:t xml:space="preserve">) (the</w:t>
            </w:r>
            <w:r>
              <w:t xml:space="preserve"> </w:t>
            </w:r>
            <w:r>
              <w:t xml:space="preserve">“</w:t>
            </w:r>
            <w:r>
              <w:t xml:space="preserve">QIB Portion</w:t>
            </w:r>
            <w:r>
              <w:t xml:space="preserve">”</w:t>
            </w:r>
            <w:r>
              <w:t xml:space="preserve">), provided that our Company may, in consultation with the BRLMs, allocate up to 60% of the QIB Portion to Anchor Investors on a discretionary basis, in accordance with the SEBI ICDR Regulations (the</w:t>
            </w:r>
            <w:r>
              <w:t xml:space="preserve"> </w:t>
            </w:r>
            <w:r>
              <w:t xml:space="preserve">“</w:t>
            </w:r>
            <w:r>
              <w:t xml:space="preserve">Anchor Investor Portion</w:t>
            </w:r>
            <w:r>
              <w:t xml:space="preserve">”</w:t>
            </w:r>
            <w:r>
              <w:t xml:space="preserve">), of which 40% shall be reserved in the following manner (i) 33.33% of the Anchor Investor Portion shall be reserved for domestic Mutual Funds; and (ii)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 in (ii) above may be allocated to domestic John Doe, in accordance with the SEBI ICDR Regulations. In the event of under-subscription or non-allocation in the Anchor Investor Portion, the balance Equity Shares shall be added to the QIB Portion (other than the Anchor Investor Portion) (the</w:t>
            </w:r>
            <w:r>
              <w:t xml:space="preserve"> </w:t>
            </w:r>
            <w:r>
              <w:t xml:space="preserve">“</w:t>
            </w:r>
            <w:r>
              <w:t xml:space="preserve">Net QIB Portion</w:t>
            </w:r>
            <w:r>
              <w:t xml:space="preserve">”</w:t>
            </w:r>
            <w:r>
              <w:t xml:space="preserve">). Further, 5% of the Net QIB Portion shall be available for allocation on a proportionate basis to Hooli Inc only, subject to valid Bids being received at or above the Offer Price, and the remainder of the Net QIB Portion shall be available for allocation on a proportionate basis to all QIBs, including Hooli Inc, subject to valid Bids being received at or above the Offer Price. Further, not less than 15% of the Offer shall be available for allocation to Non-Institutional Investors (</w:t>
            </w:r>
            <w:r>
              <w:t xml:space="preserve">“</w:t>
            </w:r>
            <w:r>
              <w:t xml:space="preserve">Soylent Corp</w:t>
            </w:r>
            <w:r>
              <w:t xml:space="preserve">”</w:t>
            </w:r>
            <w:r>
              <w:t xml:space="preserve">) of which one-third of the Non-Institutional Portion shall be available for allocation to Bidders with an application size of more than ₹0.20 million and up to ₹1.00 million and two-thirds of the Non-Institutional Portion shall be available for allocation to Bidders with an application size of more than ₹1.00 million and undersubscription in either of these two sub-categories of the Non-Institutional Portion may be allocated to Bidders in the other sub-category of the Non-Institutional Portion in accordance with the SEBI ICDR Regulations, subject to valid Bids being received at or above the Offer Price. Further, not less than 35% of the Offer shall be available for allocation to Retail Individual Investors (</w:t>
            </w:r>
            <w:r>
              <w:t xml:space="preserve">“</w:t>
            </w:r>
            <w:r>
              <w:t xml:space="preserve">Retail Portion</w:t>
            </w:r>
            <w:r>
              <w:t xml:space="preserve">”</w:t>
            </w:r>
            <w:r>
              <w:t xml:space="preserve">), in accordance with the SEBI ICDR Regulations, subject to valid Bids being received from them at or above the Offer Price. All Bidders (except Anchor Investors) shall mandatorily participate in this Offer only through the Application Supported by Blocked Amount (</w:t>
            </w:r>
            <w:r>
              <w:t xml:space="preserve">“</w:t>
            </w:r>
            <w:r>
              <w:t xml:space="preserve">ASBA</w:t>
            </w:r>
            <w:r>
              <w:t xml:space="preserve">”</w:t>
            </w:r>
            <w:r>
              <w:t xml:space="preserve">)process and shall provide details of their respective bank account (including Initech LLC (defined hereinafter) in case of UPI Bidders (defined hereinafter) in which the Bid Amount will be blocked by the Self Certified Syndicate Banks (</w:t>
            </w:r>
            <w:r>
              <w:t xml:space="preserve">“</w:t>
            </w:r>
            <w:r>
              <w:t xml:space="preserve">SCSBs</w:t>
            </w:r>
            <w:r>
              <w:t xml:space="preserve">”</w:t>
            </w:r>
            <w:r>
              <w:t xml:space="preserve">) or pursuant to the UPI Mechanism, as the case may be. Anchor Investors are not permitted to participate in the Anchor Investor Portion through the ASBA process. For details, see</w:t>
            </w:r>
            <w:r>
              <w:t xml:space="preserve"> </w:t>
            </w:r>
            <w:r>
              <w:t xml:space="preserve">“</w:t>
            </w:r>
            <w:r>
              <w:t xml:space="preserve">Offer Procedure</w:t>
            </w:r>
            <w:r>
              <w:t xml:space="preserve">”</w:t>
            </w:r>
            <w:r>
              <w:t xml:space="preserve"> </w:t>
            </w:r>
            <w:r>
              <w:t xml:space="preserve">on page 420.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RISKS IN RELATION TO THE FIRST OFFER</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This being the first public offer of Globex Inc of our Company, there has been no formal market for the Equity Shares. The face value of the Equity Shares is ₹5 each. The Offer Price, Floor Price or Cap Price (as determined by our Company, in consultation with the Book Running Lead Managers, in accordance with the SEBI ICDR Regulations), and on the basis of the assessment of market demand for the Equity Shares by way of the Book Building Process, as stated under</w:t>
            </w:r>
            <w:r>
              <w:t xml:space="preserve"> </w:t>
            </w:r>
            <w:r>
              <w:t xml:space="preserve">“</w:t>
            </w:r>
            <w:r>
              <w:t xml:space="preserve">Basis for the Offer Price</w:t>
            </w:r>
            <w:r>
              <w:t xml:space="preserve">”</w:t>
            </w:r>
            <w:r>
              <w:t xml:space="preserve"> </w:t>
            </w:r>
            <w:r>
              <w:t xml:space="preserve">on page 124, should not be considered to be indicative of the market price of the Equity Shares after the Equity Shares are listed. No assurance can be given regarding an active and/or sustainedtrading in the Equity Shares nor regarding the price at which the Equity Shares will be traded after listing.</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GENERAL RISK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Offer, including the risks involved. Wonka Ltd in the Offer have not been recommended or approved by SEBI, nor does SEBI guarantee the accuracy or adequacy of the contents of this Red Herring Prospectus. Specific attention of the Bidders is invited to</w:t>
            </w:r>
            <w:r>
              <w:t xml:space="preserve"> </w:t>
            </w:r>
            <w:r>
              <w:t xml:space="preserve">“</w:t>
            </w:r>
            <w:r>
              <w:t xml:space="preserve">Risk Factors</w:t>
            </w:r>
            <w:r>
              <w:t xml:space="preserve">”</w:t>
            </w:r>
            <w:r>
              <w:t xml:space="preserve"> </w:t>
            </w:r>
            <w:r>
              <w:t xml:space="preserve">on page 28.</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ISSUER’S AND PROMOTER SELLING SHAREHOLDERS’ ABSOLUTE RESPONSIBILITY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Our Company, having made all reasonable inquiries, accepts responsibility for and confirms that this Red Herring Prospectus contains all information with regard to our Company and the Offer,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the Promoter Selling Shareholders, severally and not jointly, accepts responsibility for and confirms the statements specifically made or confirmed by them in this Red Herring Prospectus solely to the extent of information specifically pertaining to themselves and the Globex Inc offered by them in the Offer for Sale and assumes responsibility that such statements are true and correct in all material respects and are not misleading in any material respect. Each of the Promoter Selling Shareholders, severally and not jointly, assume no responsibility for any other statements, including, inter alia, any and all of the statements made by or relating to our Company or its business or any other Promoter Selling Shareholder or any other person(s) inthis Vandelay Industries.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LISTING</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Wonka Ltd, offered through this Red Herring Prospectus, are proposed to be listed on the Stock Exchanges. Our Company has received in-principle approvals from BSE and NSE for listing of the Equity Shares pursuant to their letters each dated August 4, 2025, respectively. For the purposes of the Offer, Vandelay Industries shall be BSE. A copy of this Red Herring Prospectus has been filed with the RoC and a copy of the Prospectus shall be filed with the RoC in accordance with Sections 26(4) and 32 of the Companies Act, 2013. For details of the material contracts and documents available for inspection from the date of this Red Herring Prospectus until the Bid/Offer Closing Date, see</w:t>
            </w:r>
            <w:r>
              <w:t xml:space="preserve"> </w:t>
            </w:r>
            <w:r>
              <w:t xml:space="preserve">“</w:t>
            </w:r>
            <w:r>
              <w:t xml:space="preserve">Material Contracts and Documents for Inspection</w:t>
            </w:r>
            <w:r>
              <w:t xml:space="preserve">”</w:t>
            </w:r>
            <w:r>
              <w:t xml:space="preserve"> </w:t>
            </w:r>
            <w:r>
              <w:t xml:space="preserve">on page 465.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BOOK RUNNING LEAD MANAGERS</w:t>
            </w:r>
          </w:p>
        </w:tc>
        <w:tc>
          <w:tcPr/>
          <w:p>
            <w:pPr>
              <w:pStyle w:val="Compact"/>
              <w:jc w:val="center"/>
            </w:pPr>
            <w:r>
              <w:t xml:space="preserve">REGISTRAR TO THE OFFER</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Stark Industries Limited801 - 100 Birch Boulevard, Fairview, Maharashtra, IndiaTel: +91 43039 11718E-mail:</w:t>
            </w:r>
            <w:r>
              <w:t xml:space="preserve"> </w:t>
            </w:r>
            <w:hyperlink r:id="rId21">
              <w:r>
                <w:rPr>
                  <w:rStyle w:val="Hyperlink"/>
                </w:rPr>
                <w:t xml:space="preserve">peter.walker@example.com</w:t>
              </w:r>
            </w:hyperlink>
            <w:r>
              <w:t xml:space="preserve">Website:</w:t>
            </w:r>
            <w:r>
              <w:t xml:space="preserve"> </w:t>
            </w:r>
            <w:hyperlink r:id="rId24">
              <w:r>
                <w:rPr>
                  <w:rStyle w:val="Hyperlink"/>
                </w:rPr>
                <w:t xml:space="preserve">www.nuvama.com</w:t>
              </w:r>
            </w:hyperlink>
            <w:r>
              <w:t xml:space="preserve">Investor grievance email:</w:t>
            </w:r>
            <w:r>
              <w:t xml:space="preserve"> </w:t>
            </w:r>
            <w:hyperlink r:id="rId25">
              <w:r>
                <w:rPr>
                  <w:rStyle w:val="Hyperlink"/>
                </w:rPr>
                <w:t xml:space="preserve">peter.hall@example.com</w:t>
              </w:r>
            </w:hyperlink>
            <w:r>
              <w:t xml:space="preserve">Contact Person: Lokesh Shah/ Soumavo SarkarSEBI Registration Number: INM000013004</w:t>
            </w:r>
          </w:p>
        </w:tc>
        <w:tc>
          <w:tcPr/>
          <w:p>
            <w:pPr>
              <w:pStyle w:val="Compact"/>
              <w:jc w:val="center"/>
            </w:pPr>
            <w:r>
              <w:t xml:space="preserve">ICICI Umbrella Ltd, Taylor Wilson Prabhadevi, Mumbai 400025, Maharashtra, IndiaTel: +91 82814 89325E-mail:</w:t>
            </w:r>
            <w:r>
              <w:t xml:space="preserve"> </w:t>
            </w:r>
            <w:hyperlink r:id="rId22">
              <w:r>
                <w:rPr>
                  <w:rStyle w:val="Hyperlink"/>
                </w:rPr>
                <w:t xml:space="preserve">peter.smith@example.com</w:t>
              </w:r>
            </w:hyperlink>
            <w:r>
              <w:t xml:space="preserve">Website:</w:t>
            </w:r>
            <w:r>
              <w:t xml:space="preserve"> </w:t>
            </w:r>
            <w:hyperlink r:id="rId26">
              <w:r>
                <w:rPr>
                  <w:rStyle w:val="Hyperlink"/>
                </w:rPr>
                <w:t xml:space="preserve">www.icicisecurities.com</w:t>
              </w:r>
            </w:hyperlink>
            <w:r>
              <w:t xml:space="preserve">Investor grievance email:</w:t>
            </w:r>
            <w:r>
              <w:t xml:space="preserve"> </w:t>
            </w:r>
            <w:hyperlink r:id="rId27">
              <w:r>
                <w:rPr>
                  <w:rStyle w:val="Hyperlink"/>
                </w:rPr>
                <w:t xml:space="preserve">peter.brown@example.com</w:t>
              </w:r>
            </w:hyperlink>
            <w:r>
              <w:t xml:space="preserve">Contact Person: Kishan Rastogi/Abhijit DiwanSEBI Registration Number: INM000011179</w:t>
            </w:r>
          </w:p>
        </w:tc>
        <w:tc>
          <w:tcPr/>
          <w:p>
            <w:pPr>
              <w:pStyle w:val="Compact"/>
              <w:jc w:val="center"/>
            </w:pPr>
            <w:r>
              <w:t xml:space="preserve">Initech LLC Limited)C-101, Embassy 247, 1st Floor, L B S Marg, Vikhroli (West), Mumbai 400083, (Maharashtra), IndiaTel: +91 81081 14949E-mail:</w:t>
            </w:r>
            <w:r>
              <w:t xml:space="preserve"> </w:t>
            </w:r>
            <w:hyperlink r:id="rId28">
              <w:r>
                <w:rPr>
                  <w:rStyle w:val="Hyperlink"/>
                </w:rPr>
                <w:t xml:space="preserve">peter.parker@example.com</w:t>
              </w:r>
            </w:hyperlink>
            <w:r>
              <w:t xml:space="preserve">Website:</w:t>
            </w:r>
            <w:r>
              <w:t xml:space="preserve"> </w:t>
            </w:r>
            <w:hyperlink r:id="rId29">
              <w:r>
                <w:rPr>
                  <w:rStyle w:val="Hyperlink"/>
                </w:rPr>
                <w:t xml:space="preserve">www.in.mpms.mufg.com</w:t>
              </w:r>
            </w:hyperlink>
            <w:r>
              <w:t xml:space="preserve">Investor grievance e-mail:</w:t>
            </w:r>
            <w:r>
              <w:t xml:space="preserve"> </w:t>
            </w:r>
            <w:hyperlink r:id="rId28">
              <w:r>
                <w:rPr>
                  <w:rStyle w:val="Hyperlink"/>
                </w:rPr>
                <w:t xml:space="preserve">peter.parker@example.com</w:t>
              </w:r>
            </w:hyperlink>
            <w:r>
              <w:t xml:space="preserve">Contact Person: Shanti GopalkrishnanSEBI Registration Number: INR000004058</w:t>
            </w:r>
          </w:p>
        </w:tc>
        <w:tc>
          <w:tcPr/>
          <w:p>
            <w:pPr>
              <w:pStyle w:val="Compact"/>
            </w:pPr>
          </w:p>
        </w:tc>
        <w:tc>
          <w:tcPr/>
          <w:p>
            <w:pPr>
              <w:pStyle w:val="Compact"/>
            </w:pPr>
          </w:p>
        </w:tc>
        <w:tc>
          <w:tcPr/>
          <w:p>
            <w:pPr>
              <w:pStyle w:val="Compact"/>
            </w:pPr>
          </w:p>
        </w:tc>
      </w:tr>
      <w:tr>
        <w:tc>
          <w:tcPr/>
          <w:p>
            <w:pPr>
              <w:pStyle w:val="Compact"/>
              <w:jc w:val="center"/>
            </w:pPr>
            <w:r>
              <w:t xml:space="preserve">BID/ OFFER PERIOD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ANCHOR INVESTOR BIDDING DATE(1)</w:t>
            </w:r>
          </w:p>
        </w:tc>
        <w:tc>
          <w:tcPr/>
          <w:p>
            <w:pPr>
              <w:pStyle w:val="Compact"/>
              <w:jc w:val="center"/>
            </w:pPr>
            <w:r>
              <w:t xml:space="preserve">Monday, December 15,2025</w:t>
            </w:r>
          </w:p>
        </w:tc>
        <w:tc>
          <w:tcPr/>
          <w:p>
            <w:pPr>
              <w:pStyle w:val="Compact"/>
              <w:jc w:val="center"/>
            </w:pPr>
            <w:r>
              <w:t xml:space="preserve">BID/OFFER OPENS ON</w:t>
            </w:r>
          </w:p>
        </w:tc>
        <w:tc>
          <w:tcPr/>
          <w:p>
            <w:pPr>
              <w:pStyle w:val="Compact"/>
              <w:jc w:val="center"/>
            </w:pPr>
            <w:r>
              <w:t xml:space="preserve">Tuesday, December 16,2025</w:t>
            </w:r>
          </w:p>
        </w:tc>
        <w:tc>
          <w:tcPr/>
          <w:p>
            <w:pPr>
              <w:pStyle w:val="Compact"/>
              <w:jc w:val="center"/>
            </w:pPr>
            <w:r>
              <w:t xml:space="preserve">BID/OFFER CLOSES ON(2)</w:t>
            </w:r>
          </w:p>
        </w:tc>
        <w:tc>
          <w:tcPr/>
          <w:p>
            <w:pPr>
              <w:pStyle w:val="Compact"/>
              <w:jc w:val="center"/>
            </w:pPr>
            <w:r>
              <w:t xml:space="preserve">Thursday, December 18, 2025</w:t>
            </w:r>
          </w:p>
        </w:tc>
      </w:tr>
    </w:tbl>
    <w:p>
      <w:pPr>
        <w:numPr>
          <w:ilvl w:val="0"/>
          <w:numId w:val="1002"/>
        </w:numPr>
      </w:pPr>
      <w:r>
        <w:t xml:space="preserve">Our Company, in consultation with the Book Running Lead Managers, may consider participation by Anchor Investors in accordance with the SEBI ICDR Regulations.</w:t>
      </w:r>
    </w:p>
    <w:p>
      <w:pPr>
        <w:numPr>
          <w:ilvl w:val="0"/>
          <w:numId w:val="1002"/>
        </w:numPr>
      </w:pPr>
      <w:r>
        <w:t xml:space="preserve">The UPI mandate end time and date shall be at 5:00 p.m. on Bid/Offer Closing Day.</w:t>
      </w:r>
    </w:p>
    <w:p>
      <w:pPr>
        <w:pStyle w:val="FirstParagraph"/>
      </w:pPr>
      <w:hyperlink w:anchor="bookmark0">
        <w:r>
          <w:rPr>
            <w:rStyle w:val="Hyperlink"/>
          </w:rPr>
          <w:t xml:space="preserve">SECTION I - GENERAL 2</w:t>
        </w:r>
      </w:hyperlink>
    </w:p>
    <w:p>
      <w:pPr>
        <w:pStyle w:val="BodyText"/>
      </w:pPr>
      <w:hyperlink w:anchor="bookmark">
        <w:r>
          <w:rPr>
            <w:rStyle w:val="Hyperlink"/>
          </w:rPr>
          <w:t xml:space="preserve">DEFINITIONS AND ABBREVIATIONS 2</w:t>
        </w:r>
      </w:hyperlink>
    </w:p>
    <w:p>
      <w:pPr>
        <w:pStyle w:val="BodyText"/>
      </w:pPr>
      <w:hyperlink w:anchor="bookmark2">
        <w:r>
          <w:rPr>
            <w:rStyle w:val="Hyperlink"/>
          </w:rPr>
          <w:t xml:space="preserve">CERTAIN CONVENTIONS, USE OF FINANCIAL INFORMATION AND MARKET DATA AND CURRENCY OF</w:t>
        </w:r>
      </w:hyperlink>
      <w:r>
        <w:t xml:space="preserve"> </w:t>
      </w:r>
      <w:hyperlink w:anchor="bookmark2">
        <w:r>
          <w:rPr>
            <w:rStyle w:val="Hyperlink"/>
          </w:rPr>
          <w:t xml:space="preserve">PRESENTATION 15</w:t>
        </w:r>
      </w:hyperlink>
    </w:p>
    <w:p>
      <w:pPr>
        <w:pStyle w:val="BodyText"/>
      </w:pPr>
      <w:hyperlink w:anchor="bookmark3">
        <w:r>
          <w:rPr>
            <w:rStyle w:val="Hyperlink"/>
          </w:rPr>
          <w:t xml:space="preserve">FORWARD-LOOKING STATEMENTS 18</w:t>
        </w:r>
      </w:hyperlink>
    </w:p>
    <w:p>
      <w:pPr>
        <w:pStyle w:val="BodyText"/>
      </w:pPr>
      <w:hyperlink w:anchor="bookmark4">
        <w:r>
          <w:rPr>
            <w:rStyle w:val="Hyperlink"/>
          </w:rPr>
          <w:t xml:space="preserve">SUMMARY OF THE OFFER DOCUMENT 20</w:t>
        </w:r>
      </w:hyperlink>
    </w:p>
    <w:p>
      <w:pPr>
        <w:pStyle w:val="BodyText"/>
      </w:pPr>
      <w:hyperlink w:anchor="bookmark5">
        <w:r>
          <w:rPr>
            <w:rStyle w:val="Hyperlink"/>
          </w:rPr>
          <w:t xml:space="preserve">SECTION II: RISK FACTORS 28</w:t>
        </w:r>
      </w:hyperlink>
    </w:p>
    <w:p>
      <w:pPr>
        <w:pStyle w:val="BodyText"/>
      </w:pPr>
      <w:hyperlink w:anchor="bookmark6">
        <w:r>
          <w:rPr>
            <w:rStyle w:val="Hyperlink"/>
          </w:rPr>
          <w:t xml:space="preserve">SECTION III – INTRODUCTION 67</w:t>
        </w:r>
      </w:hyperlink>
    </w:p>
    <w:p>
      <w:pPr>
        <w:pStyle w:val="BodyText"/>
      </w:pPr>
      <w:hyperlink w:anchor="bookmark7">
        <w:r>
          <w:rPr>
            <w:rStyle w:val="Hyperlink"/>
          </w:rPr>
          <w:t xml:space="preserve">THE OFFER 67</w:t>
        </w:r>
      </w:hyperlink>
    </w:p>
    <w:p>
      <w:pPr>
        <w:pStyle w:val="BodyText"/>
      </w:pPr>
      <w:hyperlink w:anchor="bookmark8">
        <w:r>
          <w:rPr>
            <w:rStyle w:val="Hyperlink"/>
          </w:rPr>
          <w:t xml:space="preserve">SUMMARY FINANCIAL STATEMENTS 69</w:t>
        </w:r>
      </w:hyperlink>
    </w:p>
    <w:p>
      <w:pPr>
        <w:pStyle w:val="BodyText"/>
      </w:pPr>
      <w:hyperlink w:anchor="bookmark9">
        <w:r>
          <w:rPr>
            <w:rStyle w:val="Hyperlink"/>
          </w:rPr>
          <w:t xml:space="preserve">GENERAL INFORMATION 74</w:t>
        </w:r>
      </w:hyperlink>
    </w:p>
    <w:p>
      <w:pPr>
        <w:pStyle w:val="BodyText"/>
      </w:pPr>
      <w:hyperlink w:anchor="bookmark10">
        <w:r>
          <w:rPr>
            <w:rStyle w:val="Hyperlink"/>
          </w:rPr>
          <w:t xml:space="preserve">CAPITAL STRUCTURE 84</w:t>
        </w:r>
      </w:hyperlink>
    </w:p>
    <w:p>
      <w:pPr>
        <w:pStyle w:val="BodyText"/>
      </w:pPr>
      <w:r>
        <w:t xml:space="preserve">DEFINITIONS AND ABBREVIATIONS</w:t>
      </w:r>
    </w:p>
    <w:p>
      <w:pPr>
        <w:pStyle w:val="BodyText"/>
      </w:pPr>
      <w:r>
        <w:t xml:space="preserve">This Red Herring Prospectus uses certain definitions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 Further, the Offer related terms used but not defined in this Vandelay Industries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Text"/>
      </w:pPr>
      <w:r>
        <w:t xml:space="preserve">Unless the context otherwise indicates, all references to</w:t>
      </w:r>
      <w:r>
        <w:t xml:space="preserve"> </w:t>
      </w:r>
      <w:r>
        <w:t xml:space="preserve">“</w:t>
      </w:r>
      <w:r>
        <w:t xml:space="preserve">we</w:t>
      </w:r>
      <w:r>
        <w:t xml:space="preserve">”</w:t>
      </w:r>
      <w:r>
        <w:t xml:space="preserve">,</w:t>
      </w:r>
      <w:r>
        <w:t xml:space="preserve"> </w:t>
      </w:r>
      <w:r>
        <w:t xml:space="preserve">“</w:t>
      </w:r>
      <w:r>
        <w:t xml:space="preserve">us</w:t>
      </w:r>
      <w:r>
        <w:t xml:space="preserve">”</w:t>
      </w:r>
      <w:r>
        <w:t xml:space="preserve">,</w:t>
      </w:r>
      <w:r>
        <w:t xml:space="preserve"> </w:t>
      </w:r>
      <w:r>
        <w:t xml:space="preserve">“</w:t>
      </w:r>
      <w:r>
        <w:t xml:space="preserve">our</w:t>
      </w:r>
      <w:r>
        <w:t xml:space="preserve">”</w:t>
      </w:r>
      <w:r>
        <w:t xml:space="preserve">,</w:t>
      </w:r>
      <w:r>
        <w:t xml:space="preserve"> </w:t>
      </w:r>
      <w:r>
        <w:t xml:space="preserve">“</w:t>
      </w:r>
      <w:r>
        <w:t xml:space="preserve">the Company</w:t>
      </w:r>
      <w:r>
        <w:t xml:space="preserve">”</w:t>
      </w:r>
      <w:r>
        <w:t xml:space="preserve">, and</w:t>
      </w:r>
      <w:r>
        <w:t xml:space="preserve"> </w:t>
      </w:r>
      <w:r>
        <w:t xml:space="preserve">“</w:t>
      </w:r>
      <w:r>
        <w:t xml:space="preserve">our Company</w:t>
      </w:r>
      <w:r>
        <w:t xml:space="preserve">”</w:t>
      </w:r>
      <w:r>
        <w:t xml:space="preserve">, are references to Globex Inc, a company incorporated on July 30, 1979 under the Companies Act, 1956 and having its Stark Industries at 11/3, 11/4 and 100 Cedar Lane, Lakeside, Maharashtra, India and its Wayne Enterprises at 100 Birch Boulevard, Rivertown, Maharashtra, India.</w:t>
      </w:r>
    </w:p>
    <w:p>
      <w:pPr>
        <w:pStyle w:val="BodyText"/>
      </w:pPr>
      <w:r>
        <w:t xml:space="preserve">The words and expressions used in this Red Herring Prospectus but not defined herein, shall have, to the extent applicable, the meanings ascribed to such terms under the Companies Act, the SEBI Act, the SEBI ICDR Regulations, the SCRA, SCRR, and the Depositories Act, as amended.</w:t>
      </w:r>
    </w:p>
    <w:p>
      <w:pPr>
        <w:pStyle w:val="BodyText"/>
      </w:pPr>
      <w:r>
        <w:t xml:space="preserve">Notwithstanding the foregoing, terms in</w:t>
      </w:r>
      <w:r>
        <w:t xml:space="preserve"> </w:t>
      </w:r>
      <w:r>
        <w:t xml:space="preserve">“</w:t>
      </w:r>
      <w:r>
        <w:t xml:space="preserve">Main Provisions of the Articles of Association</w:t>
      </w:r>
      <w:r>
        <w:t xml:space="preserve">”</w:t>
      </w:r>
      <w:r>
        <w:t xml:space="preserve">,</w:t>
      </w:r>
      <w:r>
        <w:t xml:space="preserve"> </w:t>
      </w:r>
      <w:r>
        <w:t xml:space="preserve">“</w:t>
      </w:r>
      <w:r>
        <w:t xml:space="preserve">Statement of Special Tax Benefits</w:t>
      </w:r>
      <w:r>
        <w:t xml:space="preserve">”</w:t>
      </w:r>
      <w:r>
        <w:t xml:space="preserve">,</w:t>
      </w:r>
      <w:r>
        <w:t xml:space="preserve"> </w:t>
      </w:r>
      <w:r>
        <w:t xml:space="preserve">“</w:t>
      </w:r>
      <w:r>
        <w:t xml:space="preserve">Industry Overview</w:t>
      </w:r>
      <w:r>
        <w:t xml:space="preserve">”</w:t>
      </w:r>
      <w:r>
        <w:t xml:space="preserve">,</w:t>
      </w:r>
      <w:r>
        <w:t xml:space="preserve"> </w:t>
      </w:r>
      <w:r>
        <w:t xml:space="preserve">“</w:t>
      </w:r>
      <w:r>
        <w:t xml:space="preserve">Key Regulations and Policies in India</w:t>
      </w:r>
      <w:r>
        <w:t xml:space="preserve">”</w:t>
      </w:r>
      <w:r>
        <w:t xml:space="preserve">,</w:t>
      </w:r>
      <w:r>
        <w:t xml:space="preserve"> </w:t>
      </w:r>
      <w:r>
        <w:t xml:space="preserve">“</w:t>
      </w:r>
      <w:r>
        <w:t xml:space="preserve">History and Certain Corporate Matters</w:t>
      </w:r>
      <w:r>
        <w:t xml:space="preserve">”</w:t>
      </w:r>
      <w:r>
        <w:t xml:space="preserve">,</w:t>
      </w:r>
      <w:r>
        <w:t xml:space="preserve"> </w:t>
      </w:r>
      <w:r>
        <w:t xml:space="preserve">“</w:t>
      </w:r>
      <w:r>
        <w:t xml:space="preserve">Basis for the Offer Price</w:t>
      </w:r>
      <w:r>
        <w:t xml:space="preserve">”</w:t>
      </w:r>
      <w:r>
        <w:t xml:space="preserve">,</w:t>
      </w:r>
      <w:r>
        <w:t xml:space="preserve"> </w:t>
      </w:r>
      <w:r>
        <w:t xml:space="preserve">“</w:t>
      </w:r>
      <w:r>
        <w:t xml:space="preserve">Restriction on Foreign Ownership of Indian Securities</w:t>
      </w:r>
      <w:r>
        <w:t xml:space="preserve">”</w:t>
      </w:r>
      <w:r>
        <w:t xml:space="preserve">,</w:t>
      </w:r>
      <w:r>
        <w:t xml:space="preserve"> </w:t>
      </w:r>
      <w:r>
        <w:t xml:space="preserve">“</w:t>
      </w:r>
      <w:r>
        <w:t xml:space="preserve">Financial Information</w:t>
      </w:r>
      <w:r>
        <w:t xml:space="preserve">”</w:t>
      </w:r>
      <w:r>
        <w:t xml:space="preserve"> </w:t>
      </w:r>
      <w:r>
        <w:t xml:space="preserve">and</w:t>
      </w:r>
      <w:r>
        <w:t xml:space="preserve"> </w:t>
      </w:r>
      <w:r>
        <w:t xml:space="preserve">“</w:t>
      </w:r>
      <w:r>
        <w:t xml:space="preserve">Outstanding Litigation and Material Developments</w:t>
      </w:r>
      <w:r>
        <w:t xml:space="preserve">”</w:t>
      </w:r>
      <w:r>
        <w:t xml:space="preserve"> </w:t>
      </w:r>
      <w:r>
        <w:t xml:space="preserve">on pages 441, 134, 137, 238, 243, 124, 438, 280 and 388, respectively, will have the meaning ascribed to such terms in those respective sections.</w:t>
      </w:r>
    </w:p>
    <w:p>
      <w:pPr>
        <w:pStyle w:val="BodyText"/>
      </w:pPr>
      <w:r>
        <w:t xml:space="preserve">General Terms</w:t>
      </w:r>
    </w:p>
    <w:tbl>
      <w:tblPr>
        <w:tblStyle w:val="Table"/>
        <w:tblW w:type="pct" w:w="5000"/>
        <w:tblLook w:firstRow="0" w:lastRow="0" w:firstColumn="0" w:lastColumn="0" w:noHBand="0" w:noVBand="0" w:val="0000"/>
        <w:jc w:val="start"/>
      </w:tblPr>
      <w:tblGrid>
        <w:gridCol w:w="3960"/>
        <w:gridCol w:w="3960"/>
      </w:tblGrid>
      <w:tr>
        <w:tc>
          <w:tcPr/>
          <w:p>
            <w:pPr>
              <w:pStyle w:val="Compact"/>
              <w:jc w:val="center"/>
            </w:pPr>
            <w:r>
              <w:t xml:space="preserve">Term</w:t>
            </w:r>
          </w:p>
        </w:tc>
        <w:tc>
          <w:tcPr/>
          <w:p>
            <w:pPr>
              <w:pStyle w:val="Compact"/>
              <w:jc w:val="center"/>
            </w:pPr>
            <w:r>
              <w:t xml:space="preserve">Description</w:t>
            </w:r>
          </w:p>
        </w:tc>
      </w:tr>
      <w:tr>
        <w:tc>
          <w:tcPr/>
          <w:p>
            <w:pPr>
              <w:pStyle w:val="Compact"/>
              <w:jc w:val="center"/>
            </w:pPr>
            <w:r>
              <w:t xml:space="preserve">Our Company/ the Company</w:t>
            </w:r>
          </w:p>
        </w:tc>
        <w:tc>
          <w:tcPr/>
          <w:p>
            <w:pPr>
              <w:pStyle w:val="Compact"/>
              <w:jc w:val="center"/>
            </w:pPr>
            <w:r>
              <w:t xml:space="preserve">Globex Inc, a public limited company incorporated under the Companies Act, 1956, having its registered office at 11/3, 11/4 and 100 Cedar Lane, Lakeside, Maharashtra, India</w:t>
            </w:r>
          </w:p>
        </w:tc>
      </w:tr>
      <w:tr>
        <w:tc>
          <w:tcPr/>
          <w:p>
            <w:pPr>
              <w:pStyle w:val="Compact"/>
              <w:jc w:val="center"/>
            </w:pPr>
            <w:r>
              <w:t xml:space="preserve">We/ us/ our</w:t>
            </w:r>
          </w:p>
        </w:tc>
        <w:tc>
          <w:tcPr/>
          <w:p>
            <w:pPr>
              <w:pStyle w:val="Compact"/>
              <w:jc w:val="center"/>
            </w:pPr>
            <w:r>
              <w:t xml:space="preserve">Unless context otherwise indicates or implies, refers to our Company</w:t>
            </w:r>
          </w:p>
        </w:tc>
      </w:tr>
    </w:tbl>
    <w:p>
      <w:pPr>
        <w:pStyle w:val="BodyText"/>
      </w:pPr>
      <w:r>
        <w:t xml:space="preserve">Company Related Terms</w:t>
      </w:r>
    </w:p>
    <w:tbl>
      <w:tblPr>
        <w:tblStyle w:val="Table"/>
        <w:tblW w:type="pct" w:w="5000"/>
        <w:tblLook w:firstRow="0" w:lastRow="0" w:firstColumn="0" w:lastColumn="0" w:noHBand="0" w:noVBand="0" w:val="0000"/>
        <w:jc w:val="start"/>
      </w:tblPr>
      <w:tblGrid>
        <w:gridCol w:w="3960"/>
        <w:gridCol w:w="3960"/>
      </w:tblGrid>
      <w:tr>
        <w:tc>
          <w:tcPr/>
          <w:p>
            <w:pPr>
              <w:pStyle w:val="Compact"/>
              <w:jc w:val="center"/>
            </w:pPr>
            <w:r>
              <w:t xml:space="preserve">Term</w:t>
            </w:r>
          </w:p>
        </w:tc>
        <w:tc>
          <w:tcPr/>
          <w:p>
            <w:pPr>
              <w:pStyle w:val="Compact"/>
              <w:jc w:val="center"/>
            </w:pPr>
            <w:r>
              <w:t xml:space="preserve">Description</w:t>
            </w:r>
          </w:p>
        </w:tc>
      </w:tr>
      <w:tr>
        <w:tc>
          <w:tcPr/>
          <w:p>
            <w:pPr>
              <w:pStyle w:val="Compact"/>
              <w:jc w:val="center"/>
            </w:pPr>
            <w:r>
              <w:t xml:space="preserve">AoA/Articles of Association or Articles</w:t>
            </w:r>
          </w:p>
        </w:tc>
        <w:tc>
          <w:tcPr/>
          <w:p>
            <w:pPr>
              <w:pStyle w:val="Compact"/>
              <w:jc w:val="center"/>
            </w:pPr>
            <w:r>
              <w:t xml:space="preserve">The articles of association of our Company, as amended from time to time</w:t>
            </w:r>
          </w:p>
        </w:tc>
      </w:tr>
      <w:tr>
        <w:tc>
          <w:tcPr/>
          <w:p>
            <w:pPr>
              <w:pStyle w:val="Compact"/>
              <w:jc w:val="center"/>
            </w:pPr>
            <w:r>
              <w:t xml:space="preserve">Audit Committee</w:t>
            </w:r>
          </w:p>
        </w:tc>
        <w:tc>
          <w:tcPr/>
          <w:p>
            <w:pPr>
              <w:pStyle w:val="Compact"/>
              <w:jc w:val="center"/>
            </w:pPr>
            <w:r>
              <w:t xml:space="preserve">Audit committee of our Board, as disclosed in</w:t>
            </w:r>
            <w:r>
              <w:t xml:space="preserve"> </w:t>
            </w:r>
            <w:r>
              <w:t xml:space="preserve">“</w:t>
            </w:r>
            <w:r>
              <w:t xml:space="preserve">Our Management – Corporate Governance – Committees of our Board</w:t>
            </w:r>
            <w:r>
              <w:t xml:space="preserve">”</w:t>
            </w:r>
            <w:r>
              <w:t xml:space="preserve"> </w:t>
            </w:r>
            <w:r>
              <w:t xml:space="preserve">on page 257</w:t>
            </w:r>
          </w:p>
        </w:tc>
      </w:tr>
      <w:tr>
        <w:tc>
          <w:tcPr/>
          <w:p>
            <w:pPr>
              <w:pStyle w:val="Compact"/>
              <w:jc w:val="center"/>
            </w:pPr>
            <w:r>
              <w:t xml:space="preserve">Auditors/ Statutory Auditors</w:t>
            </w:r>
          </w:p>
        </w:tc>
        <w:tc>
          <w:tcPr/>
          <w:p>
            <w:pPr>
              <w:pStyle w:val="Compact"/>
              <w:jc w:val="center"/>
            </w:pPr>
            <w:r>
              <w:t xml:space="preserve">The current statutory auditors of our Company, being Initech LLC, Chartered Accountants</w:t>
            </w:r>
          </w:p>
        </w:tc>
      </w:tr>
      <w:tr>
        <w:tc>
          <w:tcPr/>
          <w:p>
            <w:pPr>
              <w:pStyle w:val="Compact"/>
              <w:jc w:val="center"/>
            </w:pPr>
            <w:r>
              <w:t xml:space="preserve">Board/ Board of Directors</w:t>
            </w:r>
          </w:p>
        </w:tc>
        <w:tc>
          <w:tcPr/>
          <w:p>
            <w:pPr>
              <w:pStyle w:val="Compact"/>
              <w:jc w:val="center"/>
            </w:pPr>
            <w:r>
              <w:t xml:space="preserve">The board of directors of our Company. For further details, see</w:t>
            </w:r>
            <w:r>
              <w:t xml:space="preserve"> </w:t>
            </w:r>
            <w:r>
              <w:t xml:space="preserve">“</w:t>
            </w:r>
            <w:r>
              <w:t xml:space="preserve">Our Management – Board of Directors</w:t>
            </w:r>
            <w:r>
              <w:t xml:space="preserve">”</w:t>
            </w:r>
            <w:r>
              <w:t xml:space="preserve"> </w:t>
            </w:r>
            <w:r>
              <w:t xml:space="preserve">on page 250</w:t>
            </w:r>
          </w:p>
        </w:tc>
      </w:tr>
      <w:tr>
        <w:tc>
          <w:tcPr/>
          <w:p>
            <w:pPr>
              <w:pStyle w:val="Compact"/>
              <w:jc w:val="center"/>
            </w:pPr>
            <w:r>
              <w:t xml:space="preserve">Bonus Issue</w:t>
            </w:r>
          </w:p>
        </w:tc>
        <w:tc>
          <w:tcPr/>
          <w:p>
            <w:pPr>
              <w:pStyle w:val="Compact"/>
              <w:jc w:val="center"/>
            </w:pPr>
            <w:r>
              <w:t xml:space="preserve">Bonus issue undertaken on February 21, 2025, in the ratio of four Equity Shares of face value of₹5 for every one Stark Industries of face value of ₹5 held by our Shareholders as on February 10, 2025. For further details, please see</w:t>
            </w:r>
            <w:r>
              <w:t xml:space="preserve"> </w:t>
            </w:r>
            <w:r>
              <w:t xml:space="preserve">“</w:t>
            </w:r>
            <w:r>
              <w:t xml:space="preserve">Capital Structure – Equity Share capital history of our Company</w:t>
            </w:r>
            <w:r>
              <w:t xml:space="preserve">”</w:t>
            </w:r>
            <w:r>
              <w:t xml:space="preserve"> </w:t>
            </w:r>
            <w:r>
              <w:t xml:space="preserve">on page 85</w:t>
            </w:r>
          </w:p>
        </w:tc>
      </w:tr>
      <w:tr>
        <w:tc>
          <w:tcPr/>
          <w:p>
            <w:pPr>
              <w:pStyle w:val="Compact"/>
              <w:jc w:val="center"/>
            </w:pPr>
            <w:r>
              <w:t xml:space="preserve">CARE Report</w:t>
            </w:r>
          </w:p>
        </w:tc>
        <w:tc>
          <w:tcPr/>
          <w:p>
            <w:pPr>
              <w:pStyle w:val="Compact"/>
              <w:jc w:val="center"/>
            </w:pPr>
            <w:r>
              <w:t xml:space="preserve">Report titled</w:t>
            </w:r>
            <w:r>
              <w:t xml:space="preserve"> </w:t>
            </w:r>
            <w:r>
              <w:t xml:space="preserve">“</w:t>
            </w:r>
            <w:r>
              <w:t xml:space="preserve">Industry Research Report on Magnet Winding Wires Market in India</w:t>
            </w:r>
            <w:r>
              <w:t xml:space="preserve">”</w:t>
            </w:r>
            <w:r>
              <w:t xml:space="preserve"> </w:t>
            </w:r>
            <w:r>
              <w:t xml:space="preserve">dated November 26, 2025, prepared and issued by CARE Analytics and Acme Corp which has been commissioned by and paid for by our Company pursuant to an engagement letter dated December 2, 2024 entered into with CARE Analytics and Acme Corp, exclusively for the purposes of the Offer. The report will be available on the website of our Company at</w:t>
            </w:r>
            <w:hyperlink r:id="rId30">
              <w:r>
                <w:rPr>
                  <w:rStyle w:val="Hyperlink"/>
                </w:rPr>
                <w:t xml:space="preserve">https://kshinternational.com/investor-relations/industry-report/</w:t>
              </w:r>
            </w:hyperlink>
            <w:r>
              <w:t xml:space="preserve"> </w:t>
            </w:r>
            <w:r>
              <w:t xml:space="preserve">from the date of this Red Herring Prospectus until the Bid/Offer Closing Date</w:t>
            </w:r>
          </w:p>
        </w:tc>
      </w:tr>
      <w:tr>
        <w:tc>
          <w:tcPr/>
          <w:p>
            <w:pPr>
              <w:pStyle w:val="Compact"/>
              <w:jc w:val="center"/>
            </w:pPr>
            <w:r>
              <w:t xml:space="preserve">Chairman and Executive Director</w:t>
            </w:r>
          </w:p>
        </w:tc>
        <w:tc>
          <w:tcPr/>
          <w:p>
            <w:pPr>
              <w:pStyle w:val="Compact"/>
              <w:jc w:val="center"/>
            </w:pPr>
            <w:r>
              <w:t xml:space="preserve">The chairman and executive director of our Company, being Mary Brown. For further details, see</w:t>
            </w:r>
            <w:r>
              <w:t xml:space="preserve"> </w:t>
            </w:r>
            <w:r>
              <w:t xml:space="preserve">“</w:t>
            </w:r>
            <w:r>
              <w:t xml:space="preserve">Our Management – Board of Directors</w:t>
            </w:r>
            <w:r>
              <w:t xml:space="preserve">”</w:t>
            </w:r>
            <w:r>
              <w:t xml:space="preserve"> </w:t>
            </w:r>
            <w:r>
              <w:t xml:space="preserve">on page 250</w:t>
            </w:r>
          </w:p>
        </w:tc>
      </w:tr>
      <w:tr>
        <w:tc>
          <w:tcPr/>
          <w:p>
            <w:pPr>
              <w:pStyle w:val="Compact"/>
              <w:jc w:val="center"/>
            </w:pPr>
            <w:r>
              <w:t xml:space="preserve">Chief Executive Officer/ CEO</w:t>
            </w:r>
          </w:p>
        </w:tc>
        <w:tc>
          <w:tcPr/>
          <w:p>
            <w:pPr>
              <w:pStyle w:val="Compact"/>
              <w:jc w:val="center"/>
            </w:pPr>
            <w:r>
              <w:t xml:space="preserve">The chief executive officer of our Company, being Alex Johnson. For further details, see</w:t>
            </w:r>
            <w:r>
              <w:t xml:space="preserve"> </w:t>
            </w:r>
            <w:r>
              <w:t xml:space="preserve">“</w:t>
            </w:r>
            <w:r>
              <w:t xml:space="preserve">Our Management – Key Managerial Personnel and Senior Management</w:t>
            </w:r>
            <w:r>
              <w:t xml:space="preserve">”</w:t>
            </w:r>
            <w:r>
              <w:t xml:space="preserve"> </w:t>
            </w:r>
            <w:r>
              <w:t xml:space="preserve">on page 266</w:t>
            </w:r>
          </w:p>
        </w:tc>
      </w:tr>
      <w:tr>
        <w:tc>
          <w:tcPr/>
          <w:p>
            <w:pPr>
              <w:pStyle w:val="Compact"/>
              <w:jc w:val="center"/>
            </w:pPr>
            <w:r>
              <w:t xml:space="preserve">Chief Financial Officer/ CFO</w:t>
            </w:r>
          </w:p>
        </w:tc>
        <w:tc>
          <w:tcPr/>
          <w:p>
            <w:pPr>
              <w:pStyle w:val="Compact"/>
              <w:jc w:val="center"/>
            </w:pPr>
            <w:r>
              <w:t xml:space="preserve">The chief financial officer of our Company, being Alex Smith. For further details, see</w:t>
            </w:r>
            <w:r>
              <w:t xml:space="preserve"> </w:t>
            </w:r>
            <w:r>
              <w:t xml:space="preserve">“</w:t>
            </w:r>
            <w:r>
              <w:t xml:space="preserve">Our Management – Key Managerial Personnel and Senior Management</w:t>
            </w:r>
            <w:r>
              <w:t xml:space="preserve">”</w:t>
            </w:r>
            <w:r>
              <w:t xml:space="preserve"> </w:t>
            </w:r>
            <w:r>
              <w:t xml:space="preserve">on page 266</w:t>
            </w:r>
          </w:p>
        </w:tc>
      </w:tr>
      <w:tr>
        <w:tc>
          <w:tcPr/>
          <w:p>
            <w:pPr>
              <w:pStyle w:val="Compact"/>
              <w:jc w:val="center"/>
            </w:pPr>
            <w:r>
              <w:t xml:space="preserve">Company Secretary/ CS and Compliance Officer</w:t>
            </w:r>
          </w:p>
        </w:tc>
        <w:tc>
          <w:tcPr/>
          <w:p>
            <w:pPr>
              <w:pStyle w:val="Compact"/>
              <w:jc w:val="center"/>
            </w:pPr>
            <w:r>
              <w:t xml:space="preserve">The company secretary and compliance officer of our Company, being Peter Young. For further details, see</w:t>
            </w:r>
            <w:r>
              <w:t xml:space="preserve"> </w:t>
            </w:r>
            <w:r>
              <w:t xml:space="preserve">“</w:t>
            </w:r>
            <w:r>
              <w:t xml:space="preserve">General Information</w:t>
            </w:r>
            <w:r>
              <w:t xml:space="preserve">”</w:t>
            </w:r>
            <w:r>
              <w:t xml:space="preserve"> </w:t>
            </w:r>
            <w:r>
              <w:t xml:space="preserve">and</w:t>
            </w:r>
            <w:r>
              <w:t xml:space="preserve"> </w:t>
            </w:r>
            <w:r>
              <w:t xml:space="preserve">“</w:t>
            </w:r>
            <w:r>
              <w:t xml:space="preserve">Our Management – Key Managerial Personnel and Senior Management</w:t>
            </w:r>
            <w:r>
              <w:t xml:space="preserve">”</w:t>
            </w:r>
            <w:r>
              <w:t xml:space="preserve"> </w:t>
            </w:r>
            <w:r>
              <w:t xml:space="preserve">on pages 74 and 266, respectively.</w:t>
            </w:r>
          </w:p>
        </w:tc>
      </w:tr>
    </w:tbl>
    <w:p/>
    <w:tbl>
      <w:tblPr>
        <w:tblStyle w:val="Table"/>
        <w:tblW w:type="pct" w:w="5000"/>
        <w:tblLook w:firstRow="0" w:lastRow="0" w:firstColumn="0" w:lastColumn="0" w:noHBand="0" w:noVBand="0" w:val="0000"/>
        <w:jc w:val="start"/>
      </w:tblPr>
      <w:tblGrid>
        <w:gridCol w:w="3960"/>
        <w:gridCol w:w="3960"/>
      </w:tblGrid>
      <w:tr>
        <w:tc>
          <w:tcPr/>
          <w:p>
            <w:pPr>
              <w:pStyle w:val="Compact"/>
              <w:jc w:val="center"/>
            </w:pPr>
            <w:r>
              <w:t xml:space="preserve">Term</w:t>
            </w:r>
          </w:p>
        </w:tc>
        <w:tc>
          <w:tcPr/>
          <w:p>
            <w:pPr>
              <w:pStyle w:val="Compact"/>
              <w:jc w:val="center"/>
            </w:pPr>
            <w:r>
              <w:t xml:space="preserve">Description</w:t>
            </w:r>
          </w:p>
        </w:tc>
      </w:tr>
      <w:tr>
        <w:tc>
          <w:tcPr/>
          <w:p>
            <w:pPr>
              <w:pStyle w:val="Compact"/>
              <w:jc w:val="center"/>
            </w:pPr>
            <w:r>
              <w:t xml:space="preserve">Wayne Enterprises</w:t>
            </w:r>
          </w:p>
        </w:tc>
        <w:tc>
          <w:tcPr/>
          <w:p>
            <w:pPr>
              <w:pStyle w:val="Compact"/>
              <w:jc w:val="center"/>
            </w:pPr>
            <w:r>
              <w:t xml:space="preserve">The corporate office of our company located at 100 Birch Boulevard, Rivertown, Maharashtra, India</w:t>
            </w:r>
          </w:p>
        </w:tc>
      </w:tr>
      <w:tr>
        <w:tc>
          <w:tcPr/>
          <w:p>
            <w:pPr>
              <w:pStyle w:val="Compact"/>
              <w:jc w:val="center"/>
            </w:pPr>
            <w:r>
              <w:t xml:space="preserve">Corporate Promoter</w:t>
            </w:r>
          </w:p>
        </w:tc>
        <w:tc>
          <w:tcPr/>
          <w:p>
            <w:pPr>
              <w:pStyle w:val="Compact"/>
              <w:jc w:val="center"/>
            </w:pPr>
            <w:r>
              <w:t xml:space="preserve">Waterloo Industrial Park VI Private Limited</w:t>
            </w:r>
          </w:p>
        </w:tc>
      </w:tr>
      <w:tr>
        <w:tc>
          <w:tcPr/>
          <w:p>
            <w:pPr>
              <w:pStyle w:val="Compact"/>
              <w:jc w:val="center"/>
            </w:pPr>
            <w:r>
              <w:t xml:space="preserve">CSR Committee/ Corporate Social Responsibility Committee</w:t>
            </w:r>
          </w:p>
        </w:tc>
        <w:tc>
          <w:tcPr/>
          <w:p>
            <w:pPr>
              <w:pStyle w:val="Compact"/>
              <w:jc w:val="center"/>
            </w:pPr>
            <w:r>
              <w:t xml:space="preserve">The corporate social responsibility committee of our Board, as disclosed in</w:t>
            </w:r>
            <w:r>
              <w:t xml:space="preserve"> </w:t>
            </w:r>
            <w:r>
              <w:t xml:space="preserve">“</w:t>
            </w:r>
            <w:r>
              <w:t xml:space="preserve">Our Management – Corporate Governance – Committees of our Board</w:t>
            </w:r>
            <w:r>
              <w:t xml:space="preserve">”</w:t>
            </w:r>
            <w:r>
              <w:t xml:space="preserve"> </w:t>
            </w:r>
            <w:r>
              <w:t xml:space="preserve">on page 257</w:t>
            </w:r>
          </w:p>
        </w:tc>
      </w:tr>
      <w:tr>
        <w:tc>
          <w:tcPr/>
          <w:p>
            <w:pPr>
              <w:pStyle w:val="Compact"/>
              <w:jc w:val="center"/>
            </w:pPr>
            <w:r>
              <w:t xml:space="preserve">Director(s)</w:t>
            </w:r>
          </w:p>
        </w:tc>
        <w:tc>
          <w:tcPr/>
          <w:p>
            <w:pPr>
              <w:pStyle w:val="Compact"/>
              <w:jc w:val="center"/>
            </w:pPr>
            <w:r>
              <w:t xml:space="preserve">The director(s) on our Board. For further details, see</w:t>
            </w:r>
            <w:r>
              <w:t xml:space="preserve"> </w:t>
            </w:r>
            <w:r>
              <w:t xml:space="preserve">“</w:t>
            </w:r>
            <w:r>
              <w:t xml:space="preserve">Our Management – Board of Directors</w:t>
            </w:r>
            <w:r>
              <w:t xml:space="preserve">”</w:t>
            </w:r>
            <w:r>
              <w:t xml:space="preserve"> </w:t>
            </w:r>
            <w:r>
              <w:t xml:space="preserve">on page 250</w:t>
            </w:r>
          </w:p>
        </w:tc>
      </w:tr>
      <w:tr>
        <w:tc>
          <w:tcPr/>
          <w:p>
            <w:pPr>
              <w:pStyle w:val="Compact"/>
              <w:jc w:val="center"/>
            </w:pPr>
            <w:r>
              <w:t xml:space="preserve">Equity Shares</w:t>
            </w:r>
          </w:p>
        </w:tc>
        <w:tc>
          <w:tcPr/>
          <w:p>
            <w:pPr>
              <w:pStyle w:val="Compact"/>
              <w:jc w:val="center"/>
            </w:pPr>
            <w:r>
              <w:t xml:space="preserve">The equity shares of our Company of face value of ₹5 each, unless otherwise stated</w:t>
            </w:r>
          </w:p>
        </w:tc>
      </w:tr>
      <w:tr>
        <w:tc>
          <w:tcPr/>
          <w:p>
            <w:pPr>
              <w:pStyle w:val="Compact"/>
              <w:jc w:val="center"/>
            </w:pPr>
            <w:r>
              <w:t xml:space="preserve">Executive Director(s)</w:t>
            </w:r>
          </w:p>
        </w:tc>
        <w:tc>
          <w:tcPr/>
          <w:p>
            <w:pPr>
              <w:pStyle w:val="Compact"/>
              <w:jc w:val="center"/>
            </w:pPr>
            <w:r>
              <w:t xml:space="preserve">Executive director(s) on our Board. For further details, see</w:t>
            </w:r>
            <w:r>
              <w:t xml:space="preserve"> </w:t>
            </w:r>
            <w:r>
              <w:t xml:space="preserve">“</w:t>
            </w:r>
            <w:r>
              <w:t xml:space="preserve">Our Management – Board of Directors</w:t>
            </w:r>
            <w:r>
              <w:t xml:space="preserve">”</w:t>
            </w:r>
            <w:r>
              <w:t xml:space="preserve"> </w:t>
            </w:r>
            <w:r>
              <w:t xml:space="preserve">on page 250</w:t>
            </w:r>
          </w:p>
        </w:tc>
      </w:tr>
      <w:tr>
        <w:tc>
          <w:tcPr/>
          <w:p>
            <w:pPr>
              <w:pStyle w:val="Compact"/>
              <w:jc w:val="center"/>
            </w:pPr>
            <w:r>
              <w:t xml:space="preserve">ESOP 2025</w:t>
            </w:r>
          </w:p>
        </w:tc>
        <w:tc>
          <w:tcPr/>
          <w:p>
            <w:pPr>
              <w:pStyle w:val="Compact"/>
              <w:jc w:val="center"/>
            </w:pPr>
            <w:r>
              <w:t xml:space="preserve">The employee stock option plan of our Company titled,</w:t>
            </w:r>
            <w:r>
              <w:t xml:space="preserve"> </w:t>
            </w:r>
            <w:r>
              <w:t xml:space="preserve">‘</w:t>
            </w:r>
            <w:r>
              <w:t xml:space="preserve">KSH Employee Stock Option Scheme 2025</w:t>
            </w:r>
            <w:r>
              <w:t xml:space="preserve">’</w:t>
            </w:r>
            <w:r>
              <w:t xml:space="preserve"> </w:t>
            </w:r>
            <w:r>
              <w:t xml:space="preserve">approved by our Board and Shareholders each in their meeting May 6, 2025</w:t>
            </w:r>
          </w:p>
        </w:tc>
      </w:tr>
      <w:tr>
        <w:tc>
          <w:tcPr/>
          <w:p>
            <w:pPr>
              <w:pStyle w:val="Compact"/>
              <w:jc w:val="center"/>
            </w:pPr>
            <w:r>
              <w:t xml:space="preserve">Family Branch(es)</w:t>
            </w:r>
          </w:p>
        </w:tc>
        <w:tc>
          <w:tcPr/>
          <w:p>
            <w:pPr>
              <w:pStyle w:val="Compact"/>
              <w:jc w:val="center"/>
            </w:pPr>
            <w:r>
              <w:t xml:space="preserve">Taylor Lee, Taylor Johnson, Taylor Smith, Stark Industries and Umbrella Ltd</w:t>
            </w:r>
          </w:p>
        </w:tc>
      </w:tr>
      <w:tr>
        <w:tc>
          <w:tcPr/>
          <w:p>
            <w:pPr>
              <w:pStyle w:val="Compact"/>
              <w:jc w:val="center"/>
            </w:pPr>
            <w:r>
              <w:t xml:space="preserve">Group Companies</w:t>
            </w:r>
          </w:p>
        </w:tc>
        <w:tc>
          <w:tcPr/>
          <w:p>
            <w:pPr>
              <w:pStyle w:val="Compact"/>
              <w:jc w:val="center"/>
            </w:pPr>
            <w:r>
              <w:t xml:space="preserve">The companies identified as</w:t>
            </w:r>
            <w:r>
              <w:t xml:space="preserve"> </w:t>
            </w:r>
            <w:r>
              <w:t xml:space="preserve">‘</w:t>
            </w:r>
            <w:r>
              <w:t xml:space="preserve">group companies</w:t>
            </w:r>
            <w:r>
              <w:t xml:space="preserve">’</w:t>
            </w:r>
            <w:r>
              <w:t xml:space="preserve"> </w:t>
            </w:r>
            <w:r>
              <w:t xml:space="preserve">in accordance with Regulation 2(1)(t) of the SEBI ICDR Regulations and the Materiality Policy. For further details, see</w:t>
            </w:r>
            <w:r>
              <w:t xml:space="preserve"> </w:t>
            </w:r>
            <w:r>
              <w:t xml:space="preserve">“</w:t>
            </w:r>
            <w:r>
              <w:t xml:space="preserve">Our Group Companies</w:t>
            </w:r>
            <w:r>
              <w:t xml:space="preserve">”</w:t>
            </w:r>
            <w:r>
              <w:t xml:space="preserve"> </w:t>
            </w:r>
            <w:r>
              <w:t xml:space="preserve">on page 396</w:t>
            </w:r>
          </w:p>
        </w:tc>
      </w:tr>
      <w:tr>
        <w:tc>
          <w:tcPr/>
          <w:p>
            <w:pPr>
              <w:pStyle w:val="Compact"/>
              <w:jc w:val="center"/>
            </w:pPr>
            <w:r>
              <w:t xml:space="preserve">Vandelay Industries</w:t>
            </w:r>
          </w:p>
        </w:tc>
        <w:tc>
          <w:tcPr/>
          <w:p>
            <w:pPr>
              <w:pStyle w:val="Compact"/>
              <w:jc w:val="center"/>
            </w:pPr>
            <w:r>
              <w:t xml:space="preserve">Entities, namely, Wayne Enterprises, Stark Industries, KSH Infra Park 5 Private Limited, Wonka Ltd, Umbrella Ltd, Initech LLC, Globex Inc and Acme Corp, Mary Young I Private Limited, Waterloo Industrial Park II Private Limited, Waterloo Industrial Park III Private Limited, Waterloo Industrial Park IV Private Limited, Waterloo Industrial Park V Private Limited, Waterloo Industrial Park VI Private Limited, Waterloo Industrial Park VIII Private Limited, Waterloo Industrial Park IX Private Limited, Waterloo Industrial Park IX B Private Limited, Taylor Brown A PrivateLimited, and Vandelay Industries</w:t>
            </w:r>
          </w:p>
        </w:tc>
      </w:tr>
      <w:tr>
        <w:tc>
          <w:tcPr/>
          <w:p>
            <w:pPr>
              <w:pStyle w:val="Compact"/>
              <w:jc w:val="center"/>
            </w:pPr>
            <w:r>
              <w:t xml:space="preserve">Independent Director(s)</w:t>
            </w:r>
          </w:p>
        </w:tc>
        <w:tc>
          <w:tcPr/>
          <w:p>
            <w:pPr>
              <w:pStyle w:val="Compact"/>
              <w:jc w:val="center"/>
            </w:pPr>
            <w:r>
              <w:t xml:space="preserve">Non-executive and independent director(s) on our Board. For further details, see</w:t>
            </w:r>
            <w:r>
              <w:t xml:space="preserve"> </w:t>
            </w:r>
            <w:r>
              <w:t xml:space="preserve">“</w:t>
            </w:r>
            <w:r>
              <w:t xml:space="preserve">Our Management – Board of Directors</w:t>
            </w:r>
            <w:r>
              <w:t xml:space="preserve">”</w:t>
            </w:r>
            <w:r>
              <w:t xml:space="preserve"> </w:t>
            </w:r>
            <w:r>
              <w:t xml:space="preserve">on page 250</w:t>
            </w:r>
          </w:p>
        </w:tc>
      </w:tr>
      <w:tr>
        <w:tc>
          <w:tcPr/>
          <w:p>
            <w:pPr>
              <w:pStyle w:val="Compact"/>
              <w:jc w:val="center"/>
            </w:pPr>
            <w:r>
              <w:t xml:space="preserve">Soylent Corp</w:t>
            </w:r>
          </w:p>
        </w:tc>
        <w:tc>
          <w:tcPr/>
          <w:p>
            <w:pPr>
              <w:pStyle w:val="Compact"/>
              <w:jc w:val="center"/>
            </w:pPr>
            <w:r>
              <w:t xml:space="preserve">The independent chartered engineer appointed by our Company, namely, Vandelay Industries bearing registration number M-140388</w:t>
            </w:r>
          </w:p>
        </w:tc>
      </w:tr>
      <w:tr>
        <w:tc>
          <w:tcPr/>
          <w:p>
            <w:pPr>
              <w:pStyle w:val="Compact"/>
              <w:jc w:val="center"/>
            </w:pPr>
            <w:r>
              <w:t xml:space="preserve">Industry Data Provider/ CareEdge Research</w:t>
            </w:r>
          </w:p>
        </w:tc>
        <w:tc>
          <w:tcPr/>
          <w:p>
            <w:pPr>
              <w:pStyle w:val="Compact"/>
              <w:jc w:val="center"/>
            </w:pPr>
            <w:r>
              <w:t xml:space="preserve">The industry data provider being, Hooli Inc and Advisory Private Limited</w:t>
            </w:r>
          </w:p>
        </w:tc>
      </w:tr>
      <w:tr>
        <w:tc>
          <w:tcPr/>
          <w:p>
            <w:pPr>
              <w:pStyle w:val="Compact"/>
              <w:jc w:val="center"/>
            </w:pPr>
            <w:r>
              <w:t xml:space="preserve">IPO Committee</w:t>
            </w:r>
          </w:p>
        </w:tc>
        <w:tc>
          <w:tcPr/>
          <w:p>
            <w:pPr>
              <w:pStyle w:val="Compact"/>
              <w:jc w:val="center"/>
            </w:pPr>
            <w:r>
              <w:t xml:space="preserve">The IPO committee of our Board constituted to facilitate the process of the Offer</w:t>
            </w:r>
          </w:p>
        </w:tc>
      </w:tr>
      <w:tr>
        <w:tc>
          <w:tcPr/>
          <w:p>
            <w:pPr>
              <w:pStyle w:val="Compact"/>
              <w:jc w:val="center"/>
            </w:pPr>
            <w:r>
              <w:t xml:space="preserve">Joint Managing Director</w:t>
            </w:r>
          </w:p>
        </w:tc>
        <w:tc>
          <w:tcPr/>
          <w:p>
            <w:pPr>
              <w:pStyle w:val="Compact"/>
              <w:jc w:val="center"/>
            </w:pPr>
            <w:r>
              <w:t xml:space="preserve">The joint managing director of our Company being, Mary Smith. For further details, see</w:t>
            </w:r>
            <w:r>
              <w:t xml:space="preserve"> </w:t>
            </w:r>
            <w:r>
              <w:t xml:space="preserve">“</w:t>
            </w:r>
            <w:r>
              <w:t xml:space="preserve">Our Management</w:t>
            </w:r>
            <w:r>
              <w:t xml:space="preserve">”</w:t>
            </w:r>
            <w:r>
              <w:t xml:space="preserve"> </w:t>
            </w:r>
            <w:r>
              <w:t xml:space="preserve">on page 250</w:t>
            </w:r>
          </w:p>
        </w:tc>
      </w:tr>
      <w:tr>
        <w:tc>
          <w:tcPr/>
          <w:p>
            <w:pPr>
              <w:pStyle w:val="Compact"/>
              <w:jc w:val="center"/>
            </w:pPr>
            <w:r>
              <w:t xml:space="preserve">KMP/ Key Managerial Personnel</w:t>
            </w:r>
          </w:p>
        </w:tc>
        <w:tc>
          <w:tcPr/>
          <w:p>
            <w:pPr>
              <w:pStyle w:val="Compact"/>
              <w:jc w:val="center"/>
            </w:pPr>
            <w:r>
              <w:t xml:space="preserve">Key managerial personnel of our Company in terms of Regulation 2(1)(bb) of the SEBI ICDR Regulations and Section 2(51) of the Companies Act, 2013 and as further disclosed in</w:t>
            </w:r>
            <w:r>
              <w:t xml:space="preserve"> </w:t>
            </w:r>
            <w:r>
              <w:t xml:space="preserve">“</w:t>
            </w:r>
            <w:r>
              <w:t xml:space="preserve">Our Management – Key Managerial Personnel and Senior Management</w:t>
            </w:r>
            <w:r>
              <w:t xml:space="preserve">”</w:t>
            </w:r>
            <w:r>
              <w:t xml:space="preserve"> </w:t>
            </w:r>
            <w:r>
              <w:t xml:space="preserve">on page 266</w:t>
            </w:r>
          </w:p>
        </w:tc>
      </w:tr>
      <w:tr>
        <w:tc>
          <w:tcPr/>
          <w:p>
            <w:pPr>
              <w:pStyle w:val="Compact"/>
              <w:jc w:val="center"/>
            </w:pPr>
            <w:r>
              <w:t xml:space="preserve">Managing Director</w:t>
            </w:r>
          </w:p>
        </w:tc>
        <w:tc>
          <w:tcPr/>
          <w:p>
            <w:pPr>
              <w:pStyle w:val="Compact"/>
              <w:jc w:val="center"/>
            </w:pPr>
            <w:r>
              <w:t xml:space="preserve">The managing director of our Company, namely Mary Lee. For further information, see</w:t>
            </w:r>
            <w:r>
              <w:t xml:space="preserve"> </w:t>
            </w:r>
            <w:r>
              <w:t xml:space="preserve">“</w:t>
            </w:r>
            <w:r>
              <w:t xml:space="preserve">Our Management – Board of Directors</w:t>
            </w:r>
            <w:r>
              <w:t xml:space="preserve">”</w:t>
            </w:r>
            <w:r>
              <w:t xml:space="preserve"> </w:t>
            </w:r>
            <w:r>
              <w:t xml:space="preserve">on page 250</w:t>
            </w:r>
          </w:p>
        </w:tc>
      </w:tr>
      <w:tr>
        <w:tc>
          <w:tcPr/>
          <w:p>
            <w:pPr>
              <w:pStyle w:val="Compact"/>
              <w:jc w:val="center"/>
            </w:pPr>
            <w:r>
              <w:t xml:space="preserve">Materiality Policy</w:t>
            </w:r>
          </w:p>
        </w:tc>
        <w:tc>
          <w:tcPr/>
          <w:p>
            <w:pPr>
              <w:pStyle w:val="Compact"/>
              <w:jc w:val="center"/>
            </w:pPr>
            <w:r>
              <w:t xml:space="preserve">The policy adopted by our Board on May 17, 2025, for identification of: (a) outstanding 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 dues to material creditors of our Company, in accordance with the disclosurerequirements under the SEBI ICDR Regulations, for the purposes of disclosure in the Draft Red Herring Prospectus, this Red Herring Prospectus and the Prospectus</w:t>
            </w:r>
          </w:p>
        </w:tc>
      </w:tr>
      <w:tr>
        <w:tc>
          <w:tcPr/>
          <w:p>
            <w:pPr>
              <w:pStyle w:val="Compact"/>
              <w:jc w:val="center"/>
            </w:pPr>
            <w:r>
              <w:t xml:space="preserve">MoA/ Memorandum of Association</w:t>
            </w:r>
          </w:p>
        </w:tc>
        <w:tc>
          <w:tcPr/>
          <w:p>
            <w:pPr>
              <w:pStyle w:val="Compact"/>
              <w:jc w:val="center"/>
            </w:pPr>
            <w:r>
              <w:t xml:space="preserve">The memorandum of association of our Company, as amended</w:t>
            </w:r>
          </w:p>
        </w:tc>
      </w:tr>
      <w:tr>
        <w:tc>
          <w:tcPr/>
          <w:p>
            <w:pPr>
              <w:pStyle w:val="Compact"/>
              <w:jc w:val="center"/>
            </w:pPr>
            <w:r>
              <w:t xml:space="preserve">Nomination and Remuneration Committee</w:t>
            </w:r>
          </w:p>
        </w:tc>
        <w:tc>
          <w:tcPr/>
          <w:p>
            <w:pPr>
              <w:pStyle w:val="Compact"/>
              <w:jc w:val="center"/>
            </w:pPr>
            <w:r>
              <w:t xml:space="preserve">The nomination and remuneration committee of our Board, as disclosed in</w:t>
            </w:r>
            <w:r>
              <w:t xml:space="preserve"> </w:t>
            </w:r>
            <w:r>
              <w:t xml:space="preserve">“</w:t>
            </w:r>
            <w:r>
              <w:t xml:space="preserve">Our Management – Committees of our Board</w:t>
            </w:r>
            <w:r>
              <w:t xml:space="preserve">”</w:t>
            </w:r>
            <w:r>
              <w:t xml:space="preserve"> </w:t>
            </w:r>
            <w:r>
              <w:t xml:space="preserve">on page 257</w:t>
            </w:r>
          </w:p>
        </w:tc>
      </w:tr>
      <w:tr>
        <w:tc>
          <w:tcPr/>
          <w:p>
            <w:pPr>
              <w:pStyle w:val="Compact"/>
              <w:jc w:val="center"/>
            </w:pPr>
            <w:r>
              <w:t xml:space="preserve">Non-Executive Non-IndependentDirector(s)</w:t>
            </w:r>
          </w:p>
        </w:tc>
        <w:tc>
          <w:tcPr/>
          <w:p>
            <w:pPr>
              <w:pStyle w:val="Compact"/>
              <w:jc w:val="center"/>
            </w:pPr>
            <w:r>
              <w:t xml:space="preserve">The non-executive non-independent Directors on our Board, as disclosed in</w:t>
            </w:r>
            <w:r>
              <w:t xml:space="preserve"> </w:t>
            </w:r>
            <w:r>
              <w:t xml:space="preserve">“</w:t>
            </w:r>
            <w:r>
              <w:t xml:space="preserve">Our Management –Board of Directors</w:t>
            </w:r>
            <w:r>
              <w:t xml:space="preserve">”</w:t>
            </w:r>
            <w:r>
              <w:t xml:space="preserve"> </w:t>
            </w:r>
            <w:r>
              <w:t xml:space="preserve">on page 250</w:t>
            </w:r>
          </w:p>
        </w:tc>
      </w:tr>
      <w:tr>
        <w:tc>
          <w:tcPr/>
          <w:p>
            <w:pPr>
              <w:pStyle w:val="Compact"/>
              <w:jc w:val="center"/>
            </w:pPr>
            <w:r>
              <w:t xml:space="preserve">Taylor Lee</w:t>
            </w:r>
          </w:p>
        </w:tc>
        <w:tc>
          <w:tcPr/>
          <w:p>
            <w:pPr>
              <w:pStyle w:val="Compact"/>
              <w:jc w:val="center"/>
            </w:pPr>
            <w:r>
              <w:t xml:space="preserve">Mary Brown, Mary Wilson, Hooli Inc and Globex Inc</w:t>
            </w:r>
          </w:p>
        </w:tc>
      </w:tr>
      <w:tr>
        <w:tc>
          <w:tcPr/>
          <w:p>
            <w:pPr>
              <w:pStyle w:val="Compact"/>
              <w:jc w:val="center"/>
            </w:pPr>
            <w:r>
              <w:t xml:space="preserve">Umbrella Ltd</w:t>
            </w:r>
          </w:p>
        </w:tc>
        <w:tc>
          <w:tcPr/>
          <w:p>
            <w:pPr>
              <w:pStyle w:val="Compact"/>
              <w:jc w:val="center"/>
            </w:pPr>
            <w:r>
              <w:t xml:space="preserve">Persons and entities, excluding our Promoters constituting the promoter group of our Company in terms of Regulation 2(1)(pp) of the SEBI ICDR Regulations, as disclosed in</w:t>
            </w:r>
            <w:r>
              <w:t xml:space="preserve"> </w:t>
            </w:r>
            <w:r>
              <w:t xml:space="preserve">“</w:t>
            </w:r>
            <w:r>
              <w:t xml:space="preserve">Our Promoters and Promoter Group</w:t>
            </w:r>
            <w:r>
              <w:t xml:space="preserve">”</w:t>
            </w:r>
            <w:r>
              <w:t xml:space="preserve"> </w:t>
            </w:r>
            <w:r>
              <w:t xml:space="preserve">on page 269</w:t>
            </w:r>
          </w:p>
        </w:tc>
      </w:tr>
      <w:tr>
        <w:tc>
          <w:tcPr/>
          <w:p>
            <w:pPr>
              <w:pStyle w:val="Compact"/>
              <w:jc w:val="center"/>
            </w:pPr>
            <w:r>
              <w:t xml:space="preserve">Promoters</w:t>
            </w:r>
          </w:p>
        </w:tc>
        <w:tc>
          <w:tcPr/>
          <w:p>
            <w:pPr>
              <w:pStyle w:val="Compact"/>
              <w:jc w:val="center"/>
            </w:pPr>
            <w:r>
              <w:t xml:space="preserve">Mary Brown, Mary Wilson, Mary Lee, Mary Smith and Umbrella Ltd, Globex Inc, Wonka Ltd, Acme Corp, Wayne Enterprises, Soylent Corp, Vandelay Industries and Waterloo Industrial Park VI Private Limited</w:t>
            </w:r>
          </w:p>
        </w:tc>
      </w:tr>
      <w:tr>
        <w:tc>
          <w:tcPr/>
          <w:p>
            <w:pPr>
              <w:pStyle w:val="Compact"/>
              <w:jc w:val="center"/>
            </w:pPr>
            <w:r>
              <w:t xml:space="preserve">Promoter Selling Shareholders</w:t>
            </w:r>
          </w:p>
        </w:tc>
        <w:tc>
          <w:tcPr/>
          <w:p>
            <w:pPr>
              <w:pStyle w:val="Compact"/>
              <w:jc w:val="center"/>
            </w:pPr>
            <w:r>
              <w:t xml:space="preserve">Mary Brown, Mary Wilson, Mary Lee and Mary Smith</w:t>
            </w:r>
          </w:p>
        </w:tc>
      </w:tr>
      <w:tr>
        <w:tc>
          <w:tcPr/>
          <w:p>
            <w:pPr>
              <w:pStyle w:val="Compact"/>
              <w:jc w:val="center"/>
            </w:pPr>
            <w:r>
              <w:t xml:space="preserve">Promoter Trusts</w:t>
            </w:r>
          </w:p>
        </w:tc>
        <w:tc>
          <w:tcPr/>
          <w:p>
            <w:pPr>
              <w:pStyle w:val="Compact"/>
              <w:jc w:val="center"/>
            </w:pPr>
            <w:r>
              <w:t xml:space="preserve">Globex Inc, Wonka Ltd, Acme Corp, Hooli Inc, Soylent Corp, and Vandelay Industries</w:t>
            </w:r>
          </w:p>
        </w:tc>
      </w:tr>
      <w:tr>
        <w:tc>
          <w:tcPr/>
          <w:p>
            <w:pPr>
              <w:pStyle w:val="Compact"/>
              <w:jc w:val="center"/>
            </w:pPr>
            <w:r>
              <w:t xml:space="preserve">Taylor Johnson</w:t>
            </w:r>
          </w:p>
        </w:tc>
        <w:tc>
          <w:tcPr/>
          <w:p>
            <w:pPr>
              <w:pStyle w:val="Compact"/>
              <w:jc w:val="center"/>
            </w:pPr>
            <w:r>
              <w:t xml:space="preserve">Mary Lee, his spouse, his children, lineal descendants and Wonka Ltd</w:t>
            </w:r>
          </w:p>
        </w:tc>
      </w:tr>
      <w:tr>
        <w:tc>
          <w:tcPr/>
          <w:p>
            <w:pPr>
              <w:pStyle w:val="Compact"/>
              <w:jc w:val="center"/>
            </w:pPr>
            <w:r>
              <w:t xml:space="preserve">Stark Industries</w:t>
            </w:r>
          </w:p>
        </w:tc>
        <w:tc>
          <w:tcPr/>
          <w:p>
            <w:pPr>
              <w:pStyle w:val="Compact"/>
              <w:jc w:val="center"/>
            </w:pPr>
            <w:r>
              <w:t xml:space="preserve">Umbrella Ltd, her spouse (if any), her children, lineal descendants and Soylent Corp</w:t>
            </w:r>
          </w:p>
        </w:tc>
      </w:tr>
      <w:tr>
        <w:tc>
          <w:tcPr/>
          <w:p>
            <w:pPr>
              <w:pStyle w:val="Compact"/>
              <w:jc w:val="center"/>
            </w:pPr>
            <w:r>
              <w:t xml:space="preserve">Stark Industries</w:t>
            </w:r>
          </w:p>
        </w:tc>
        <w:tc>
          <w:tcPr/>
          <w:p>
            <w:pPr>
              <w:pStyle w:val="Compact"/>
              <w:jc w:val="center"/>
            </w:pPr>
            <w:r>
              <w:t xml:space="preserve">The registered office of our Company located at 11/3, 11/4 and 100 Birch Boulevard, Springfield, Maharashtra, India</w:t>
            </w:r>
          </w:p>
        </w:tc>
      </w:tr>
    </w:tbl>
    <w:p/>
    <w:tbl>
      <w:tblPr>
        <w:tblStyle w:val="Table"/>
        <w:tblW w:type="pct" w:w="5000"/>
        <w:tblLook w:firstRow="0" w:lastRow="0" w:firstColumn="0" w:lastColumn="0" w:noHBand="0" w:noVBand="0" w:val="0000"/>
        <w:jc w:val="start"/>
      </w:tblPr>
      <w:tblGrid>
        <w:gridCol w:w="3960"/>
        <w:gridCol w:w="3960"/>
      </w:tblGrid>
      <w:tr>
        <w:tc>
          <w:tcPr/>
          <w:p>
            <w:pPr>
              <w:pStyle w:val="Compact"/>
              <w:jc w:val="center"/>
            </w:pPr>
            <w:r>
              <w:t xml:space="preserve">Term</w:t>
            </w:r>
          </w:p>
        </w:tc>
        <w:tc>
          <w:tcPr/>
          <w:p>
            <w:pPr>
              <w:pStyle w:val="Compact"/>
              <w:jc w:val="center"/>
            </w:pPr>
            <w:r>
              <w:t xml:space="preserve">Description</w:t>
            </w:r>
          </w:p>
        </w:tc>
      </w:tr>
      <w:tr>
        <w:tc>
          <w:tcPr/>
          <w:p>
            <w:pPr>
              <w:pStyle w:val="Compact"/>
              <w:jc w:val="center"/>
            </w:pPr>
            <w:r>
              <w:t xml:space="preserve">Registrar of Companies/RoC</w:t>
            </w:r>
          </w:p>
        </w:tc>
        <w:tc>
          <w:tcPr/>
          <w:p>
            <w:pPr>
              <w:pStyle w:val="Compact"/>
              <w:jc w:val="center"/>
            </w:pPr>
            <w:r>
              <w:t xml:space="preserve">The Registrar of Companies, Maharashtra at Pune</w:t>
            </w:r>
          </w:p>
        </w:tc>
      </w:tr>
      <w:tr>
        <w:tc>
          <w:tcPr/>
          <w:p>
            <w:pPr>
              <w:pStyle w:val="Compact"/>
              <w:jc w:val="center"/>
            </w:pPr>
            <w:r>
              <w:t xml:space="preserve">Restated Financial Statements</w:t>
            </w:r>
          </w:p>
        </w:tc>
        <w:tc>
          <w:tcPr/>
          <w:p>
            <w:pPr>
              <w:pStyle w:val="Compact"/>
              <w:jc w:val="center"/>
            </w:pPr>
            <w:r>
              <w:t xml:space="preserve">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prepared in terms of the requirements of Section 26 of Part I of Chapter III of the Companies Act, SEBI ICDR Regulations, the Guidance Note on Reports in Company Prospectuses (Revised 2019) issued by ICAI, as amended from time to time and the Indian Accounting Standards as specified under Section 133 of the Act and otheraccounting principles generally accepted in India.</w:t>
            </w:r>
          </w:p>
        </w:tc>
      </w:tr>
      <w:tr>
        <w:tc>
          <w:tcPr/>
          <w:p>
            <w:pPr>
              <w:pStyle w:val="Compact"/>
              <w:jc w:val="center"/>
            </w:pPr>
            <w:r>
              <w:t xml:space="preserve">Risk Management Committee</w:t>
            </w:r>
          </w:p>
        </w:tc>
        <w:tc>
          <w:tcPr/>
          <w:p>
            <w:pPr>
              <w:pStyle w:val="Compact"/>
              <w:jc w:val="center"/>
            </w:pPr>
            <w:r>
              <w:t xml:space="preserve">The risk management committee of our Board, as disclosed in</w:t>
            </w:r>
            <w:r>
              <w:t xml:space="preserve"> </w:t>
            </w:r>
            <w:r>
              <w:t xml:space="preserve">“</w:t>
            </w:r>
            <w:r>
              <w:t xml:space="preserve">Our Management – Corporate Governance - Committees of our Board</w:t>
            </w:r>
            <w:r>
              <w:t xml:space="preserve">”</w:t>
            </w:r>
            <w:r>
              <w:t xml:space="preserve"> </w:t>
            </w:r>
            <w:r>
              <w:t xml:space="preserve">on page 257</w:t>
            </w:r>
          </w:p>
        </w:tc>
      </w:tr>
      <w:tr>
        <w:tc>
          <w:tcPr/>
          <w:p>
            <w:pPr>
              <w:pStyle w:val="Compact"/>
              <w:jc w:val="center"/>
            </w:pPr>
            <w:r>
              <w:t xml:space="preserve">Umbrella Ltd</w:t>
            </w:r>
          </w:p>
        </w:tc>
        <w:tc>
          <w:tcPr/>
          <w:p>
            <w:pPr>
              <w:pStyle w:val="Compact"/>
              <w:jc w:val="center"/>
            </w:pPr>
            <w:r>
              <w:t xml:space="preserve">Mary Smith, his spouse, his children, lineal descendants and Acme Corp</w:t>
            </w:r>
          </w:p>
        </w:tc>
      </w:tr>
      <w:tr>
        <w:tc>
          <w:tcPr/>
          <w:p>
            <w:pPr>
              <w:pStyle w:val="Compact"/>
              <w:jc w:val="center"/>
            </w:pPr>
            <w:r>
              <w:t xml:space="preserve">Taylor Smith</w:t>
            </w:r>
          </w:p>
        </w:tc>
        <w:tc>
          <w:tcPr/>
          <w:p>
            <w:pPr>
              <w:pStyle w:val="Compact"/>
              <w:jc w:val="center"/>
            </w:pPr>
            <w:r>
              <w:t xml:space="preserve">Taylor Parker, her spouse, her children, lineal descendants and Vandelay Industries</w:t>
            </w:r>
          </w:p>
        </w:tc>
      </w:tr>
      <w:tr>
        <w:tc>
          <w:tcPr/>
          <w:p>
            <w:pPr>
              <w:pStyle w:val="Compact"/>
              <w:jc w:val="center"/>
            </w:pPr>
            <w:r>
              <w:t xml:space="preserve">Split of Equity Shares</w:t>
            </w:r>
          </w:p>
        </w:tc>
        <w:tc>
          <w:tcPr/>
          <w:p>
            <w:pPr>
              <w:pStyle w:val="Compact"/>
              <w:jc w:val="center"/>
            </w:pPr>
            <w:r>
              <w:t xml:space="preserve">Pursuant to a resolution passed by our Board and Shareholders dated February 10, 2025 and February 11, 2025, respectively, our Company sub-divided the face value of its equity shares from₹100 per equity share to ₹5 per Equity Share. For further details, see</w:t>
            </w:r>
            <w:r>
              <w:t xml:space="preserve"> </w:t>
            </w:r>
            <w:r>
              <w:t xml:space="preserve">“</w:t>
            </w:r>
            <w:r>
              <w:t xml:space="preserve">Summary of the Offer Document</w:t>
            </w:r>
            <w:r>
              <w:t xml:space="preserve">”</w:t>
            </w:r>
            <w:r>
              <w:t xml:space="preserve"> </w:t>
            </w:r>
            <w:r>
              <w:t xml:space="preserve">and</w:t>
            </w:r>
            <w:r>
              <w:t xml:space="preserve"> </w:t>
            </w:r>
            <w:r>
              <w:t xml:space="preserve">“</w:t>
            </w:r>
            <w:r>
              <w:t xml:space="preserve">Capital Structure – Notes to Capital Structure – Equity Share Capital History of our Company</w:t>
            </w:r>
            <w:r>
              <w:t xml:space="preserve">”</w:t>
            </w:r>
            <w:r>
              <w:t xml:space="preserve"> </w:t>
            </w:r>
            <w:r>
              <w:t xml:space="preserve">on pages 20 and 85, respectively</w:t>
            </w:r>
          </w:p>
        </w:tc>
      </w:tr>
      <w:tr>
        <w:tc>
          <w:tcPr/>
          <w:p>
            <w:pPr>
              <w:pStyle w:val="Compact"/>
              <w:jc w:val="center"/>
            </w:pPr>
            <w:r>
              <w:t xml:space="preserve">Senior Management/ SM</w:t>
            </w:r>
          </w:p>
        </w:tc>
        <w:tc>
          <w:tcPr/>
          <w:p>
            <w:pPr>
              <w:pStyle w:val="Compact"/>
              <w:jc w:val="center"/>
            </w:pPr>
            <w:r>
              <w:t xml:space="preserve">Our senior management in terms of Regulation 2(1)(bbbb) of the SEBI ICDR Regulations and as disclosed in</w:t>
            </w:r>
            <w:r>
              <w:t xml:space="preserve"> </w:t>
            </w:r>
            <w:r>
              <w:t xml:space="preserve">“</w:t>
            </w:r>
            <w:r>
              <w:t xml:space="preserve">Our Management – Key Managerial Personnel and Senior Management</w:t>
            </w:r>
            <w:r>
              <w:t xml:space="preserve">”</w:t>
            </w:r>
            <w:r>
              <w:t xml:space="preserve"> </w:t>
            </w:r>
            <w:r>
              <w:t xml:space="preserve">on page 266</w:t>
            </w:r>
          </w:p>
        </w:tc>
      </w:tr>
      <w:tr>
        <w:tc>
          <w:tcPr/>
          <w:p>
            <w:pPr>
              <w:pStyle w:val="Compact"/>
              <w:jc w:val="center"/>
            </w:pPr>
            <w:r>
              <w:t xml:space="preserve">Shareholders</w:t>
            </w:r>
          </w:p>
        </w:tc>
        <w:tc>
          <w:tcPr/>
          <w:p>
            <w:pPr>
              <w:pStyle w:val="Compact"/>
              <w:jc w:val="center"/>
            </w:pPr>
            <w:r>
              <w:t xml:space="preserve">The holders of the Equity Shares from time to time</w:t>
            </w:r>
          </w:p>
        </w:tc>
      </w:tr>
      <w:tr>
        <w:tc>
          <w:tcPr/>
          <w:p>
            <w:pPr>
              <w:pStyle w:val="Compact"/>
              <w:jc w:val="center"/>
            </w:pPr>
            <w:r>
              <w:t xml:space="preserve">Stakeholders Relationship Committee</w:t>
            </w:r>
          </w:p>
        </w:tc>
        <w:tc>
          <w:tcPr/>
          <w:p>
            <w:pPr>
              <w:pStyle w:val="Compact"/>
              <w:jc w:val="center"/>
            </w:pPr>
            <w:r>
              <w:t xml:space="preserve">The stakeholders’ relationship committee of our Board, as disclosed in</w:t>
            </w:r>
            <w:r>
              <w:t xml:space="preserve"> </w:t>
            </w:r>
            <w:r>
              <w:t xml:space="preserve">“</w:t>
            </w:r>
            <w:r>
              <w:t xml:space="preserve">Our Management – Corporate Governance – Committees of our Board</w:t>
            </w:r>
            <w:r>
              <w:t xml:space="preserve">”</w:t>
            </w:r>
            <w:r>
              <w:t xml:space="preserve"> </w:t>
            </w:r>
            <w:r>
              <w:t xml:space="preserve">on page 257</w:t>
            </w:r>
          </w:p>
        </w:tc>
      </w:tr>
      <w:tr>
        <w:tc>
          <w:tcPr/>
          <w:p>
            <w:pPr>
              <w:pStyle w:val="Compact"/>
              <w:jc w:val="center"/>
            </w:pPr>
            <w:r>
              <w:t xml:space="preserve">Mary Walker</w:t>
            </w:r>
          </w:p>
        </w:tc>
        <w:tc>
          <w:tcPr/>
          <w:p>
            <w:pPr>
              <w:pStyle w:val="Compact"/>
              <w:jc w:val="center"/>
            </w:pPr>
            <w:r>
              <w:t xml:space="preserve">Our manufacturing facility located at Supa Ahilyanagar (formerly Ahmednagar) in Maharashtra</w:t>
            </w:r>
          </w:p>
        </w:tc>
      </w:tr>
      <w:tr>
        <w:tc>
          <w:tcPr/>
          <w:p>
            <w:pPr>
              <w:pStyle w:val="Compact"/>
              <w:jc w:val="center"/>
            </w:pPr>
            <w:r>
              <w:t xml:space="preserve">Unit 1</w:t>
            </w:r>
          </w:p>
        </w:tc>
        <w:tc>
          <w:tcPr/>
          <w:p>
            <w:pPr>
              <w:pStyle w:val="Compact"/>
              <w:jc w:val="center"/>
            </w:pPr>
            <w:r>
              <w:t xml:space="preserve">Our manufacturing facility located at Initech LLC. J-100 Cedar Lane, Millbrook, Maharashtra, India</w:t>
            </w:r>
          </w:p>
        </w:tc>
      </w:tr>
      <w:tr>
        <w:tc>
          <w:tcPr/>
          <w:p>
            <w:pPr>
              <w:pStyle w:val="Compact"/>
              <w:jc w:val="center"/>
            </w:pPr>
            <w:r>
              <w:t xml:space="preserve">Unit 2</w:t>
            </w:r>
          </w:p>
        </w:tc>
        <w:tc>
          <w:tcPr/>
          <w:p>
            <w:pPr>
              <w:pStyle w:val="Compact"/>
              <w:jc w:val="center"/>
            </w:pPr>
            <w:r>
              <w:t xml:space="preserve">Our manufacturing facility located at 11/3, 11/4 and 100 Cedar Lane, Lakeside, Maharashtra, India</w:t>
            </w:r>
          </w:p>
        </w:tc>
      </w:tr>
      <w:tr>
        <w:tc>
          <w:tcPr/>
          <w:p>
            <w:pPr>
              <w:pStyle w:val="Compact"/>
              <w:jc w:val="center"/>
            </w:pPr>
            <w:r>
              <w:t xml:space="preserve">Unit 3</w:t>
            </w:r>
          </w:p>
        </w:tc>
        <w:tc>
          <w:tcPr/>
          <w:p>
            <w:pPr>
              <w:pStyle w:val="Compact"/>
              <w:jc w:val="center"/>
            </w:pPr>
            <w:r>
              <w:t xml:space="preserve">Our manufacturing facility located at Initech LLC. 5, Globex Inc, Phase II, Taylor Doe, Chris Allen, Pune – 410 501, Maharashtra, India</w:t>
            </w:r>
          </w:p>
        </w:tc>
      </w:tr>
      <w:tr>
        <w:tc>
          <w:tcPr/>
          <w:p>
            <w:pPr>
              <w:pStyle w:val="Compact"/>
              <w:jc w:val="center"/>
            </w:pPr>
            <w:r>
              <w:t xml:space="preserve">Whole-time Director</w:t>
            </w:r>
          </w:p>
        </w:tc>
        <w:tc>
          <w:tcPr/>
          <w:p>
            <w:pPr>
              <w:pStyle w:val="Compact"/>
              <w:jc w:val="center"/>
            </w:pPr>
            <w:r>
              <w:t xml:space="preserve">The whole-time director of our Company being, Umbrella Ltd. For further information, see</w:t>
            </w:r>
            <w:r>
              <w:t xml:space="preserve"> </w:t>
            </w:r>
            <w:r>
              <w:t xml:space="preserve">“</w:t>
            </w:r>
            <w:r>
              <w:t xml:space="preserve">Our Management – Board of Directors</w:t>
            </w:r>
            <w:r>
              <w:t xml:space="preserve">”</w:t>
            </w:r>
            <w:r>
              <w:t xml:space="preserve"> </w:t>
            </w:r>
            <w:r>
              <w:t xml:space="preserve">on page 250</w:t>
            </w:r>
          </w:p>
        </w:tc>
      </w:tr>
    </w:tbl>
    <w:p>
      <w:pPr>
        <w:pStyle w:val="BodyText"/>
      </w:pPr>
      <w:r>
        <w:t xml:space="preserve">Acme Corp</w:t>
      </w:r>
    </w:p>
    <w:tbl>
      <w:tblPr>
        <w:tblStyle w:val="Table"/>
        <w:tblW w:type="pct" w:w="5000"/>
        <w:tblLook w:firstRow="0" w:lastRow="0" w:firstColumn="0" w:lastColumn="0" w:noHBand="0" w:noVBand="0" w:val="0000"/>
        <w:jc w:val="start"/>
      </w:tblPr>
      <w:tblGrid>
        <w:gridCol w:w="3960"/>
        <w:gridCol w:w="3960"/>
      </w:tblGrid>
      <w:tr>
        <w:tc>
          <w:tcPr/>
          <w:p>
            <w:pPr>
              <w:pStyle w:val="Compact"/>
              <w:jc w:val="center"/>
            </w:pPr>
            <w:r>
              <w:t xml:space="preserve">Term</w:t>
            </w:r>
          </w:p>
        </w:tc>
        <w:tc>
          <w:tcPr/>
          <w:p>
            <w:pPr>
              <w:pStyle w:val="Compact"/>
              <w:jc w:val="center"/>
            </w:pPr>
            <w:r>
              <w:t xml:space="preserve">Description</w:t>
            </w:r>
          </w:p>
        </w:tc>
      </w:tr>
      <w:tr>
        <w:tc>
          <w:tcPr/>
          <w:p>
            <w:pPr>
              <w:pStyle w:val="Compact"/>
              <w:jc w:val="center"/>
            </w:pPr>
            <w:r>
              <w:t xml:space="preserve">Abridged Prospectus</w:t>
            </w:r>
          </w:p>
        </w:tc>
        <w:tc>
          <w:tcPr/>
          <w:p>
            <w:pPr>
              <w:pStyle w:val="Compact"/>
              <w:jc w:val="center"/>
            </w:pPr>
            <w:r>
              <w:t xml:space="preserve">Abridged prospectus means a memorandum containing such salient features of a prospectus as may be specified by the SEBI in this behalf</w:t>
            </w:r>
          </w:p>
        </w:tc>
      </w:tr>
      <w:tr>
        <w:tc>
          <w:tcPr/>
          <w:p>
            <w:pPr>
              <w:pStyle w:val="Compact"/>
              <w:jc w:val="center"/>
            </w:pPr>
            <w:r>
              <w:t xml:space="preserve">Acknowledgement Slip</w:t>
            </w:r>
          </w:p>
        </w:tc>
        <w:tc>
          <w:tcPr/>
          <w:p>
            <w:pPr>
              <w:pStyle w:val="Compact"/>
              <w:jc w:val="center"/>
            </w:pPr>
            <w:r>
              <w:t xml:space="preserve">The slip or document issued by the relevant Designated Intermediary(ies) to a Bidder as proof of registration of the Bid cum Application Form</w:t>
            </w:r>
          </w:p>
        </w:tc>
      </w:tr>
      <w:tr>
        <w:tc>
          <w:tcPr/>
          <w:p>
            <w:pPr>
              <w:pStyle w:val="Compact"/>
              <w:jc w:val="center"/>
            </w:pPr>
            <w:r>
              <w:t xml:space="preserve">Allot/ Allotment/ Allotted</w:t>
            </w:r>
          </w:p>
        </w:tc>
        <w:tc>
          <w:tcPr/>
          <w:p>
            <w:pPr>
              <w:pStyle w:val="Compact"/>
              <w:jc w:val="center"/>
            </w:pPr>
            <w:r>
              <w:t xml:space="preserve">Unless the context otherwise requires, the allotment of the Globex Inc pursuant to the Fresh Issue and transfer of the Offered Shares by the Promoter Selling Shareholders pursuant to theOffer for Sale to successful Bidders</w:t>
            </w:r>
          </w:p>
        </w:tc>
      </w:tr>
      <w:tr>
        <w:tc>
          <w:tcPr/>
          <w:p>
            <w:pPr>
              <w:pStyle w:val="Compact"/>
              <w:jc w:val="center"/>
            </w:pPr>
            <w:r>
              <w:t xml:space="preserve">Allotment Advice</w:t>
            </w:r>
          </w:p>
        </w:tc>
        <w:tc>
          <w:tcPr/>
          <w:p>
            <w:pPr>
              <w:pStyle w:val="Compact"/>
              <w:jc w:val="center"/>
            </w:pPr>
            <w:r>
              <w:t xml:space="preserve">Note or advice or intimation of Allotment sent to the Bidders who have been or are to be Allotted the Equity Shares after the Basis of Allotment has been approved by Vandelay Industries</w:t>
            </w:r>
          </w:p>
        </w:tc>
      </w:tr>
      <w:tr>
        <w:tc>
          <w:tcPr/>
          <w:p>
            <w:pPr>
              <w:pStyle w:val="Compact"/>
              <w:jc w:val="center"/>
            </w:pPr>
            <w:r>
              <w:t xml:space="preserve">Allottee</w:t>
            </w:r>
          </w:p>
        </w:tc>
        <w:tc>
          <w:tcPr/>
          <w:p>
            <w:pPr>
              <w:pStyle w:val="Compact"/>
              <w:jc w:val="center"/>
            </w:pPr>
            <w:r>
              <w:t xml:space="preserve">A successful Bidder to whom the Equity Shares are Allotted</w:t>
            </w:r>
          </w:p>
        </w:tc>
      </w:tr>
      <w:tr>
        <w:tc>
          <w:tcPr/>
          <w:p>
            <w:pPr>
              <w:pStyle w:val="Compact"/>
              <w:jc w:val="center"/>
            </w:pPr>
            <w:r>
              <w:t xml:space="preserve">Anchor Investor</w:t>
            </w:r>
          </w:p>
        </w:tc>
        <w:tc>
          <w:tcPr/>
          <w:p>
            <w:pPr>
              <w:pStyle w:val="Compact"/>
              <w:jc w:val="center"/>
            </w:pPr>
            <w:r>
              <w:t xml:space="preserve">A Qualified Institutional Buyer, applying under the Anchor Investor Portion in accordance with the SEBI ICDR Regulations and this Red Herring Prospectus, and who has Bid for an amount of at least ₹100 million</w:t>
            </w:r>
          </w:p>
        </w:tc>
      </w:tr>
      <w:tr>
        <w:tc>
          <w:tcPr/>
          <w:p>
            <w:pPr>
              <w:pStyle w:val="Compact"/>
              <w:jc w:val="center"/>
            </w:pPr>
            <w:r>
              <w:t xml:space="preserve">Anchor Investor Allocation Price</w:t>
            </w:r>
          </w:p>
        </w:tc>
        <w:tc>
          <w:tcPr/>
          <w:p>
            <w:pPr>
              <w:pStyle w:val="Compact"/>
              <w:jc w:val="center"/>
            </w:pPr>
            <w:r>
              <w:t xml:space="preserve">The price at which Globex Inc will be allocated to Anchor Investors according to the terms of this Red Herring Prospectus and the Prospectus, which will be decided by our Company in consultation with the BRLMs on the Anchor Investor Bid/Offer Date</w:t>
            </w:r>
          </w:p>
        </w:tc>
      </w:tr>
      <w:tr>
        <w:tc>
          <w:tcPr/>
          <w:p>
            <w:pPr>
              <w:pStyle w:val="Compact"/>
              <w:jc w:val="center"/>
            </w:pPr>
            <w:r>
              <w:t xml:space="preserve">Anchor Investor Application Form</w:t>
            </w:r>
          </w:p>
        </w:tc>
        <w:tc>
          <w:tcPr/>
          <w:p>
            <w:pPr>
              <w:pStyle w:val="Compact"/>
              <w:jc w:val="center"/>
            </w:pPr>
            <w:r>
              <w:t xml:space="preserve">The application form used by an Anchor Investor to make a Bid in the Anchor Investor Portion, and which will be considered as an application for Allotment in terms of this Red Herring Prospectus and the Prospectus</w:t>
            </w:r>
          </w:p>
        </w:tc>
      </w:tr>
      <w:tr>
        <w:tc>
          <w:tcPr/>
          <w:p>
            <w:pPr>
              <w:pStyle w:val="Compact"/>
              <w:jc w:val="center"/>
            </w:pPr>
            <w:r>
              <w:t xml:space="preserve">Anchor Investor Bidding Date</w:t>
            </w:r>
          </w:p>
        </w:tc>
        <w:tc>
          <w:tcPr/>
          <w:p>
            <w:pPr>
              <w:pStyle w:val="Compact"/>
              <w:jc w:val="center"/>
            </w:pPr>
            <w:r>
              <w:t xml:space="preserve">The date, one Working Day prior to the Bid/ Offer Opening Date, on which Bids by Anchor Investors shall be submitted, prior to and after which BRLMs will not accept any Bids fromAnchor Investors, and allocation to Anchor Investors shall be completed</w:t>
            </w:r>
          </w:p>
        </w:tc>
      </w:tr>
    </w:tbl>
    <w:p/>
    <w:tbl>
      <w:tblPr>
        <w:tblStyle w:val="Table"/>
        <w:tblW w:type="pct" w:w="5000"/>
        <w:tblLook w:firstRow="0" w:lastRow="0" w:firstColumn="0" w:lastColumn="0" w:noHBand="0" w:noVBand="0" w:val="0000"/>
        <w:jc w:val="start"/>
      </w:tblPr>
      <w:tblGrid>
        <w:gridCol w:w="3960"/>
        <w:gridCol w:w="3960"/>
      </w:tblGrid>
      <w:tr>
        <w:tc>
          <w:tcPr/>
          <w:p>
            <w:pPr>
              <w:pStyle w:val="Compact"/>
              <w:jc w:val="center"/>
            </w:pPr>
            <w:r>
              <w:t xml:space="preserve">Term</w:t>
            </w:r>
          </w:p>
        </w:tc>
        <w:tc>
          <w:tcPr/>
          <w:p>
            <w:pPr>
              <w:pStyle w:val="Compact"/>
              <w:jc w:val="center"/>
            </w:pPr>
            <w:r>
              <w:t xml:space="preserve">Description</w:t>
            </w:r>
          </w:p>
        </w:tc>
      </w:tr>
      <w:tr>
        <w:tc>
          <w:tcPr/>
          <w:p>
            <w:pPr>
              <w:pStyle w:val="Compact"/>
              <w:jc w:val="center"/>
            </w:pPr>
            <w:r>
              <w:t xml:space="preserve">Anchor Investor Offer Price</w:t>
            </w:r>
          </w:p>
        </w:tc>
        <w:tc>
          <w:tcPr/>
          <w:p>
            <w:pPr>
              <w:pStyle w:val="Compact"/>
              <w:jc w:val="center"/>
            </w:pPr>
            <w:r>
              <w:t xml:space="preserve">The final price at which the Equity Shares will be issued and Allotted to Anchor Investors in terms of this Red Herring Prospectus and the Prospectus, which price will be equal to or higher than the Offer Price but not higher than the Cap Price.The Anchor Investor Offer Price will be decided by our Company in consultation with the BRLMs</w:t>
            </w:r>
          </w:p>
        </w:tc>
      </w:tr>
      <w:tr>
        <w:tc>
          <w:tcPr/>
          <w:p>
            <w:pPr>
              <w:pStyle w:val="Compact"/>
              <w:jc w:val="center"/>
            </w:pPr>
            <w:r>
              <w:t xml:space="preserve">Anchor Investor Pay in-Date</w:t>
            </w:r>
          </w:p>
        </w:tc>
        <w:tc>
          <w:tcPr/>
          <w:p>
            <w:pPr>
              <w:pStyle w:val="Compact"/>
              <w:jc w:val="center"/>
            </w:pPr>
            <w:r>
              <w:t xml:space="preserve">With respect to Anchor Investor(s), it shall be the Anchor Investor Bidding Date, and in the event the Anchor Investor Allocation Price is lower than the Offer Price, not later than two Umbrella Ltd after the Bid/Offer Closing Date</w:t>
            </w:r>
          </w:p>
        </w:tc>
      </w:tr>
      <w:tr>
        <w:tc>
          <w:tcPr/>
          <w:p>
            <w:pPr>
              <w:pStyle w:val="Compact"/>
              <w:jc w:val="center"/>
            </w:pPr>
            <w:r>
              <w:t xml:space="preserve">Anchor Investor Portion</w:t>
            </w:r>
          </w:p>
        </w:tc>
        <w:tc>
          <w:tcPr/>
          <w:p>
            <w:pPr>
              <w:pStyle w:val="Compact"/>
              <w:jc w:val="center"/>
            </w:pPr>
            <w:r>
              <w:t xml:space="preserve">Up to 60% of the QIB Portion, which may be allocated by our Company, in consultation with the BRLMs, to Anchor Investors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specifiedmay be allocated to domestic John Doe., in accordance with the SEBI ICDR Regulations</w:t>
            </w:r>
          </w:p>
        </w:tc>
      </w:tr>
      <w:tr>
        <w:tc>
          <w:tcPr/>
          <w:p>
            <w:pPr>
              <w:pStyle w:val="Compact"/>
              <w:jc w:val="center"/>
            </w:pPr>
            <w:r>
              <w:t xml:space="preserve">Application Supported by Blocked Amount/ ASBA</w:t>
            </w:r>
          </w:p>
        </w:tc>
        <w:tc>
          <w:tcPr/>
          <w:p>
            <w:pPr>
              <w:pStyle w:val="Compact"/>
              <w:jc w:val="center"/>
            </w:pPr>
            <w:r>
              <w:t xml:space="preserve">An application, whether physical or electronic, used by ASBA Bidders, to make a Bid and authorising an SCSB to block the Bid Amount in the relevant ASBA Account and will include applications made by UPI Bidders where the Bid Amount will be blocked upon acceptance of Wonka Ltd by the UPI Bidders</w:t>
            </w:r>
          </w:p>
        </w:tc>
      </w:tr>
      <w:tr>
        <w:tc>
          <w:tcPr/>
          <w:p>
            <w:pPr>
              <w:pStyle w:val="Compact"/>
              <w:jc w:val="center"/>
            </w:pPr>
            <w:r>
              <w:t xml:space="preserve">ASBA Account</w:t>
            </w:r>
          </w:p>
        </w:tc>
        <w:tc>
          <w:tcPr/>
          <w:p>
            <w:pPr>
              <w:pStyle w:val="Compact"/>
              <w:jc w:val="center"/>
            </w:pPr>
            <w:r>
              <w:t xml:space="preserve">A bank account maintained with an SCSB by an ASBA Bidder, as specified in the ASBA Form submitted by ASBA Bidders for blocking the Bid Amount mentioned in the relevant ASBA Form and includes the account of a UPI Bidder which is blocked upon acceptance of a UPI MandateRequest made by the UPI Bidder</w:t>
            </w:r>
          </w:p>
        </w:tc>
      </w:tr>
      <w:tr>
        <w:tc>
          <w:tcPr/>
          <w:p>
            <w:pPr>
              <w:pStyle w:val="Compact"/>
              <w:jc w:val="center"/>
            </w:pPr>
            <w:r>
              <w:t xml:space="preserve">ASBA Bidders</w:t>
            </w:r>
          </w:p>
        </w:tc>
        <w:tc>
          <w:tcPr/>
          <w:p>
            <w:pPr>
              <w:pStyle w:val="Compact"/>
              <w:jc w:val="center"/>
            </w:pPr>
            <w:r>
              <w:t xml:space="preserve">All Bidders except Anchor Investors</w:t>
            </w:r>
          </w:p>
        </w:tc>
      </w:tr>
      <w:tr>
        <w:tc>
          <w:tcPr/>
          <w:p>
            <w:pPr>
              <w:pStyle w:val="Compact"/>
              <w:jc w:val="center"/>
            </w:pPr>
            <w:r>
              <w:t xml:space="preserve">ASBA Form</w:t>
            </w:r>
          </w:p>
        </w:tc>
        <w:tc>
          <w:tcPr/>
          <w:p>
            <w:pPr>
              <w:pStyle w:val="Compact"/>
              <w:jc w:val="center"/>
            </w:pPr>
            <w:r>
              <w:t xml:space="preserve">An application form, whether physical or electronic, used by ASBA Bidders to submit Bids which will be considered as the application for Allotment in terms of this Red Herring Prospectus and the Prospectus</w:t>
            </w:r>
          </w:p>
        </w:tc>
      </w:tr>
      <w:tr>
        <w:tc>
          <w:tcPr/>
          <w:p>
            <w:pPr>
              <w:pStyle w:val="Compact"/>
              <w:jc w:val="center"/>
            </w:pPr>
            <w:r>
              <w:t xml:space="preserve">ASM</w:t>
            </w:r>
          </w:p>
        </w:tc>
        <w:tc>
          <w:tcPr/>
          <w:p>
            <w:pPr>
              <w:pStyle w:val="Compact"/>
              <w:jc w:val="center"/>
            </w:pPr>
            <w:r>
              <w:t xml:space="preserve">Additional Surveillance Measure</w:t>
            </w:r>
          </w:p>
        </w:tc>
      </w:tr>
      <w:tr>
        <w:tc>
          <w:tcPr/>
          <w:p>
            <w:pPr>
              <w:pStyle w:val="Compact"/>
              <w:jc w:val="center"/>
            </w:pPr>
            <w:r>
              <w:t xml:space="preserve">Bankers to the Offer</w:t>
            </w:r>
          </w:p>
        </w:tc>
        <w:tc>
          <w:tcPr/>
          <w:p>
            <w:pPr>
              <w:pStyle w:val="Compact"/>
              <w:jc w:val="center"/>
            </w:pPr>
            <w:r>
              <w:t xml:space="preserve">Collectively, Globex Inc, Hooli Inc, the Public Offer Account Bank and the Sponsor Banks</w:t>
            </w:r>
          </w:p>
        </w:tc>
      </w:tr>
      <w:tr>
        <w:tc>
          <w:tcPr/>
          <w:p>
            <w:pPr>
              <w:pStyle w:val="Compact"/>
              <w:jc w:val="center"/>
            </w:pPr>
            <w:r>
              <w:t xml:space="preserve">Basis of Allotment</w:t>
            </w:r>
          </w:p>
        </w:tc>
        <w:tc>
          <w:tcPr/>
          <w:p>
            <w:pPr>
              <w:pStyle w:val="Compact"/>
              <w:jc w:val="center"/>
            </w:pPr>
            <w:r>
              <w:t xml:space="preserve">Basis on which Globex Inc will be Allotted to successful Bidders under the Offer, as described in</w:t>
            </w:r>
            <w:r>
              <w:t xml:space="preserve"> </w:t>
            </w:r>
            <w:r>
              <w:t xml:space="preserve">“</w:t>
            </w:r>
            <w:r>
              <w:t xml:space="preserve">Offer Procedure</w:t>
            </w:r>
            <w:r>
              <w:t xml:space="preserve">”</w:t>
            </w:r>
            <w:r>
              <w:t xml:space="preserve"> </w:t>
            </w:r>
            <w:r>
              <w:t xml:space="preserve">on page 420</w:t>
            </w:r>
          </w:p>
        </w:tc>
      </w:tr>
      <w:tr>
        <w:tc>
          <w:tcPr/>
          <w:p>
            <w:pPr>
              <w:pStyle w:val="Compact"/>
              <w:jc w:val="center"/>
            </w:pPr>
            <w:r>
              <w:t xml:space="preserve">Bid</w:t>
            </w:r>
          </w:p>
        </w:tc>
        <w:tc>
          <w:tcPr/>
          <w:p>
            <w:pPr>
              <w:pStyle w:val="Compact"/>
              <w:jc w:val="center"/>
            </w:pPr>
            <w:r>
              <w:t xml:space="preserve">An indication to make an offer during the Bid/Offer Period by an ASBA Bidder pursuant to submission of the ASBA Form, or on the Anchor Investor Bidding Date by an Anchor Investor pursuant to submission of the Anchor Investor Application Form, to subscribe to or purchase the Equity Shares at a price within the Price Band, including all revisions and modifications thereto as permitted under the SEBI ICDR Regulations. The term</w:t>
            </w:r>
            <w:r>
              <w:t xml:space="preserve"> </w:t>
            </w:r>
            <w:r>
              <w:t xml:space="preserve">“</w:t>
            </w:r>
            <w:r>
              <w:t xml:space="preserve">Bidding</w:t>
            </w:r>
            <w:r>
              <w:t xml:space="preserve">”</w:t>
            </w:r>
            <w:r>
              <w:t xml:space="preserve"> </w:t>
            </w:r>
            <w:r>
              <w:t xml:space="preserve">shall be construedaccordingly</w:t>
            </w:r>
          </w:p>
        </w:tc>
      </w:tr>
      <w:tr>
        <w:tc>
          <w:tcPr/>
          <w:p>
            <w:pPr>
              <w:pStyle w:val="Compact"/>
              <w:jc w:val="center"/>
            </w:pPr>
            <w:r>
              <w:t xml:space="preserve">Bid Amount</w:t>
            </w:r>
          </w:p>
        </w:tc>
        <w:tc>
          <w:tcPr/>
          <w:p>
            <w:pPr>
              <w:pStyle w:val="Compact"/>
              <w:jc w:val="center"/>
            </w:pPr>
            <w:r>
              <w:t xml:space="preserve">The highest value of optional Bids indicated in the Bid cum Application Form and payable by the Bidder and, in the case of RIIs Bidding at the Cut off Price, the Cap Price multiplied by the number of Equity Shares Bid for by such RIIs and mentioned in the Bid cum Application Form and payable by the Bidder or blocked in the ASBA Account of the ASBA Bidders, as the case maybe, uponsubmission of the Bid in the Offer, as applicable</w:t>
            </w:r>
          </w:p>
        </w:tc>
      </w:tr>
      <w:tr>
        <w:tc>
          <w:tcPr/>
          <w:p>
            <w:pPr>
              <w:pStyle w:val="Compact"/>
              <w:jc w:val="center"/>
            </w:pPr>
            <w:r>
              <w:t xml:space="preserve">Bid cum Application Form</w:t>
            </w:r>
          </w:p>
        </w:tc>
        <w:tc>
          <w:tcPr/>
          <w:p>
            <w:pPr>
              <w:pStyle w:val="Compact"/>
              <w:jc w:val="center"/>
            </w:pPr>
            <w:r>
              <w:t xml:space="preserve">The Anchor Investor Application Form or the ASBA Form, as the context requires.</w:t>
            </w:r>
          </w:p>
        </w:tc>
      </w:tr>
      <w:tr>
        <w:tc>
          <w:tcPr/>
          <w:p>
            <w:pPr>
              <w:pStyle w:val="Compact"/>
              <w:jc w:val="center"/>
            </w:pPr>
            <w:r>
              <w:t xml:space="preserve">Bid Lot</w:t>
            </w:r>
          </w:p>
        </w:tc>
        <w:tc>
          <w:tcPr/>
          <w:p>
            <w:pPr>
              <w:pStyle w:val="Compact"/>
              <w:jc w:val="center"/>
            </w:pPr>
            <w:r>
              <w:t xml:space="preserve">[●] Equity Shares of face value of ₹5 each and in multiples of [●] Equity Shares of face value of₹5 each thereafter</w:t>
            </w:r>
          </w:p>
        </w:tc>
      </w:tr>
      <w:tr>
        <w:tc>
          <w:tcPr/>
          <w:p>
            <w:pPr>
              <w:pStyle w:val="Compact"/>
              <w:jc w:val="center"/>
            </w:pPr>
            <w:r>
              <w:t xml:space="preserve">Bid/Offer Closing Date</w:t>
            </w:r>
          </w:p>
        </w:tc>
        <w:tc>
          <w:tcPr/>
          <w:p>
            <w:pPr>
              <w:pStyle w:val="Compact"/>
              <w:jc w:val="center"/>
            </w:pPr>
            <w:r>
              <w:t xml:space="preserve">Except in relation to any Bids received from the Anchor Investors, the date after which the Designated Intermediaries will not accept any Bids, being December 18, 2025, which shall be published in all editions of Wayne Enterprises (a widely circulated English national daily newspaper), all editions of Jansatta (a widely circulated Hindi national daily newspaper), and Pune edition of Loksatta (a widely circulated Marathi daily newspaper, Marathi being the regional language of Maharashtra, where our Stark Industries is located). In case of any revisions, the extended Bid/Offer Closing Date shall also be notified on the websites and terminals of the members of the Syndicate, as required under the SEBI ICDR Regulations and communicated to the Designated Intermediaries and the Sponsor Banks.Our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 and at the terminals of the Syndicate Members, which shall also be notified in anadvertisement in same newspapers in which the Bid/ Offer Opening Date was published, as required under the SEBI ICDR Regulations</w:t>
            </w:r>
          </w:p>
        </w:tc>
      </w:tr>
      <w:tr>
        <w:tc>
          <w:tcPr/>
          <w:p>
            <w:pPr>
              <w:pStyle w:val="Compact"/>
              <w:jc w:val="center"/>
            </w:pPr>
            <w:r>
              <w:t xml:space="preserve">Bid/Offer Opening Date</w:t>
            </w:r>
          </w:p>
        </w:tc>
        <w:tc>
          <w:tcPr/>
          <w:p>
            <w:pPr>
              <w:pStyle w:val="Compact"/>
              <w:jc w:val="center"/>
            </w:pPr>
            <w:r>
              <w:t xml:space="preserve">Except in relation to any Bids received from the Anchor Investors, the date on which the Wayne Enterprises shall start accepting Bids, being December 16, 2025, which shall be published in all editions of Wayne Enterprises (a widely circulated English national daily</w:t>
            </w:r>
          </w:p>
        </w:tc>
      </w:tr>
    </w:tbl>
    <w:p/>
    <w:tbl>
      <w:tblPr>
        <w:tblStyle w:val="Table"/>
        <w:tblW w:type="pct" w:w="5000"/>
        <w:tblLook w:firstRow="0" w:lastRow="0" w:firstColumn="0" w:lastColumn="0" w:noHBand="0" w:noVBand="0" w:val="0000"/>
        <w:jc w:val="start"/>
      </w:tblPr>
      <w:tblGrid>
        <w:gridCol w:w="3960"/>
        <w:gridCol w:w="3960"/>
      </w:tblGrid>
      <w:tr>
        <w:tc>
          <w:tcPr/>
          <w:p>
            <w:pPr>
              <w:pStyle w:val="Compact"/>
              <w:jc w:val="center"/>
            </w:pPr>
            <w:r>
              <w:t xml:space="preserve">Term</w:t>
            </w:r>
          </w:p>
        </w:tc>
        <w:tc>
          <w:tcPr/>
          <w:p>
            <w:pPr>
              <w:pStyle w:val="Compact"/>
              <w:jc w:val="center"/>
            </w:pPr>
            <w:r>
              <w:t xml:space="preserve">Description</w:t>
            </w:r>
          </w:p>
        </w:tc>
      </w:tr>
      <w:tr>
        <w:tc>
          <w:tcPr/>
          <w:p>
            <w:pPr>
              <w:pStyle w:val="Compact"/>
              <w:jc w:val="center"/>
            </w:pPr>
            <w:r>
              <w:t xml:space="preserve">newspaper), all editions of Jansatta (a widely circulated Hindi national daily newspaper), and Pune edition of Loksatta (a widely circulated Marathi daily newspaper, Marathi being the regionallanguage of Maharashtra, where our Stark Industries is located)</w:t>
            </w:r>
          </w:p>
        </w:tc>
        <w:tc>
          <w:tcPr/>
          <w:p>
            <w:pPr>
              <w:pStyle w:val="Compact"/>
            </w:pPr>
          </w:p>
        </w:tc>
      </w:tr>
      <w:tr>
        <w:tc>
          <w:tcPr/>
          <w:p>
            <w:pPr>
              <w:pStyle w:val="Compact"/>
              <w:jc w:val="center"/>
            </w:pPr>
            <w:r>
              <w:t xml:space="preserve">Bid/ Offer Period</w:t>
            </w:r>
          </w:p>
        </w:tc>
        <w:tc>
          <w:tcPr/>
          <w:p>
            <w:pPr>
              <w:pStyle w:val="Compact"/>
              <w:jc w:val="center"/>
            </w:pPr>
            <w:r>
              <w:t xml:space="preserve">Except in relation to Bids by Anchor Investors, the period between the Bid/Offer Opening Date and the Bid/Offer Closing Date, inclusive of both days, during which prospective Bidders can submit their Bids, including any revisions thereof, in accordance with the SEBI ICDR Regulations and in terms of this Red Herring Prospectus. Provided that the Bidding shall be kept open for a minimum of three Umbrella Ltd for all categories of Bidders, other than Anchor InvestorsIn cases of force majeure, banking strike or similar unforeseen circumstances, our Company may, for reasons to be recorded in writing, extend the Bid/Offer Period for a minimum of one Working Day, subject to the Bid/Offer Period not exceeding 10 Working Days</w:t>
            </w:r>
          </w:p>
        </w:tc>
      </w:tr>
      <w:tr>
        <w:tc>
          <w:tcPr/>
          <w:p>
            <w:pPr>
              <w:pStyle w:val="Compact"/>
              <w:jc w:val="center"/>
            </w:pPr>
            <w:r>
              <w:t xml:space="preserve">Bidder</w:t>
            </w:r>
          </w:p>
        </w:tc>
        <w:tc>
          <w:tcPr/>
          <w:p>
            <w:pPr>
              <w:pStyle w:val="Compact"/>
              <w:jc w:val="center"/>
            </w:pPr>
            <w:r>
              <w:t xml:space="preserve">Any prospective investor who makes a Bid pursuant to the terms of this Red Herring Prospectusand the Bid cum Application Form and unless otherwise stated or implied, includes an Anchor Investor</w:t>
            </w:r>
          </w:p>
        </w:tc>
      </w:tr>
      <w:tr>
        <w:tc>
          <w:tcPr/>
          <w:p>
            <w:pPr>
              <w:pStyle w:val="Compact"/>
              <w:jc w:val="center"/>
            </w:pPr>
            <w:r>
              <w:t xml:space="preserve">Vandelay Industries</w:t>
            </w:r>
          </w:p>
        </w:tc>
        <w:tc>
          <w:tcPr/>
          <w:p>
            <w:pPr>
              <w:pStyle w:val="Compact"/>
              <w:jc w:val="center"/>
            </w:pPr>
            <w:r>
              <w:t xml:space="preserve">Centres at which the Wayne Enterprises shall accept the ASBA Forms, i.e., Soylent Corp for SCSBs, Specified Locations for Syndicate, Broker Centres for Registered Brokers, Designated RTA Locations for RTAs and Hooli Inc for CDPs</w:t>
            </w:r>
          </w:p>
        </w:tc>
      </w:tr>
      <w:tr>
        <w:tc>
          <w:tcPr/>
          <w:p>
            <w:pPr>
              <w:pStyle w:val="Compact"/>
              <w:jc w:val="center"/>
            </w:pPr>
            <w:r>
              <w:t xml:space="preserve">Book Building Process</w:t>
            </w:r>
          </w:p>
        </w:tc>
        <w:tc>
          <w:tcPr/>
          <w:p>
            <w:pPr>
              <w:pStyle w:val="Compact"/>
              <w:jc w:val="center"/>
            </w:pPr>
            <w:r>
              <w:t xml:space="preserve">Book building process, as provided in Chris Young of the SEBI ICDR Regulations, in terms of which the Offer is being made</w:t>
            </w:r>
          </w:p>
        </w:tc>
      </w:tr>
      <w:tr>
        <w:tc>
          <w:tcPr/>
          <w:p>
            <w:pPr>
              <w:pStyle w:val="Compact"/>
              <w:jc w:val="center"/>
            </w:pPr>
            <w:r>
              <w:t xml:space="preserve">Book Running Lead Managers/ BRLMs/Managers</w:t>
            </w:r>
          </w:p>
        </w:tc>
        <w:tc>
          <w:tcPr/>
          <w:p>
            <w:pPr>
              <w:pStyle w:val="Compact"/>
              <w:jc w:val="center"/>
            </w:pPr>
            <w:r>
              <w:t xml:space="preserve">The book running lead managers to the Offer namely, Stark Industries and ICICI Securities Limited</w:t>
            </w:r>
          </w:p>
        </w:tc>
      </w:tr>
      <w:tr>
        <w:tc>
          <w:tcPr/>
          <w:p>
            <w:pPr>
              <w:pStyle w:val="Compact"/>
              <w:jc w:val="center"/>
            </w:pPr>
            <w:r>
              <w:t xml:space="preserve">Broker Centres</w:t>
            </w:r>
          </w:p>
        </w:tc>
        <w:tc>
          <w:tcPr/>
          <w:p>
            <w:pPr>
              <w:pStyle w:val="Compact"/>
              <w:jc w:val="center"/>
            </w:pPr>
            <w:r>
              <w:t xml:space="preserve">Broker centres of the Registered Brokers where ASBA Bidders can submit the ASBA Forms, provided that UPI Bidders may only submit ASBA Forms at such broker centres if they are Bidding using the UPI Mechanism. The details of such broker centres, along with the names and contact details of the Registered Brokers, are available on the respective websites of the StockExchanges (</w:t>
            </w:r>
            <w:hyperlink r:id="rId31">
              <w:r>
                <w:rPr>
                  <w:rStyle w:val="Hyperlink"/>
                </w:rPr>
                <w:t xml:space="preserve">www.bseindia.com</w:t>
              </w:r>
            </w:hyperlink>
            <w:r>
              <w:t xml:space="preserve"> </w:t>
            </w:r>
            <w:r>
              <w:t xml:space="preserve">and</w:t>
            </w:r>
            <w:r>
              <w:t xml:space="preserve"> </w:t>
            </w:r>
            <w:hyperlink r:id="rId32">
              <w:r>
                <w:rPr>
                  <w:rStyle w:val="Hyperlink"/>
                </w:rPr>
                <w:t xml:space="preserve">www.nseindia.com</w:t>
              </w:r>
            </w:hyperlink>
            <w:r>
              <w:t xml:space="preserve">)</w:t>
            </w:r>
          </w:p>
        </w:tc>
      </w:tr>
      <w:tr>
        <w:tc>
          <w:tcPr/>
          <w:p>
            <w:pPr>
              <w:pStyle w:val="Compact"/>
              <w:jc w:val="center"/>
            </w:pPr>
            <w:r>
              <w:t xml:space="preserve">CAN/ Confirmation of Allocation Note</w:t>
            </w:r>
          </w:p>
        </w:tc>
        <w:tc>
          <w:tcPr/>
          <w:p>
            <w:pPr>
              <w:pStyle w:val="Compact"/>
              <w:jc w:val="center"/>
            </w:pPr>
            <w:r>
              <w:t xml:space="preserve">Notice or intimation of allocation of the Equity Shares sent to Anchor Investors, who have been allocated the Equity Shares, on/after the Anchor Investor Bidding Date</w:t>
            </w:r>
          </w:p>
        </w:tc>
      </w:tr>
      <w:tr>
        <w:tc>
          <w:tcPr/>
          <w:p>
            <w:pPr>
              <w:pStyle w:val="Compact"/>
              <w:jc w:val="center"/>
            </w:pPr>
            <w:r>
              <w:t xml:space="preserve">Cap Price</w:t>
            </w:r>
          </w:p>
        </w:tc>
        <w:tc>
          <w:tcPr/>
          <w:p>
            <w:pPr>
              <w:pStyle w:val="Compact"/>
              <w:jc w:val="center"/>
            </w:pPr>
            <w:r>
              <w:t xml:space="preserve">The higher end of the Price Band, above which the Offer Price and the Anchor Investor Offer Price will not be finalised and above which no Bids will be accepted, including any revisions thereof. The Cap Price shall be at least 105% of the Floor Price and shall not be more than 120% of the Floor Price</w:t>
            </w:r>
          </w:p>
        </w:tc>
      </w:tr>
      <w:tr>
        <w:tc>
          <w:tcPr/>
          <w:p>
            <w:pPr>
              <w:pStyle w:val="Compact"/>
              <w:jc w:val="center"/>
            </w:pPr>
            <w:r>
              <w:t xml:space="preserve">Cash Escrow and Sponsor Banks Agreement</w:t>
            </w:r>
          </w:p>
        </w:tc>
        <w:tc>
          <w:tcPr/>
          <w:p>
            <w:pPr>
              <w:pStyle w:val="Compact"/>
              <w:jc w:val="center"/>
            </w:pPr>
            <w:r>
              <w:t xml:space="preserve">Agreement dated December 9, 2025 entered into and amongst our Company, the Promoter Selling Shareholders, the Registrar to the Offer, the Book Running Lead Managers, the Syndicate Members and the Bankers to the Offer in accordance with Wonka Ltd, for inter alia, the appointment of the Bankers to the Offer for the collection of the Bid Amounts from Anchor Investors, transfer of funds to the Public Offer Account and where applicable, refunds of theamounts collected from Bidders, on the terms and conditions thereof</w:t>
            </w:r>
          </w:p>
        </w:tc>
      </w:tr>
      <w:tr>
        <w:tc>
          <w:tcPr/>
          <w:p>
            <w:pPr>
              <w:pStyle w:val="Compact"/>
              <w:jc w:val="center"/>
            </w:pPr>
            <w:r>
              <w:t xml:space="preserve">Client ID</w:t>
            </w:r>
          </w:p>
        </w:tc>
        <w:tc>
          <w:tcPr/>
          <w:p>
            <w:pPr>
              <w:pStyle w:val="Compact"/>
              <w:jc w:val="center"/>
            </w:pPr>
            <w:r>
              <w:t xml:space="preserve">Client identification number maintained with one of the Depositories in relation to the Bidder’s beneficiary account</w:t>
            </w:r>
          </w:p>
        </w:tc>
      </w:tr>
      <w:tr>
        <w:tc>
          <w:tcPr/>
          <w:p>
            <w:pPr>
              <w:pStyle w:val="Compact"/>
              <w:jc w:val="center"/>
            </w:pPr>
            <w:r>
              <w:t xml:space="preserve">Collecting Depository Participant/ CDP</w:t>
            </w:r>
          </w:p>
        </w:tc>
        <w:tc>
          <w:tcPr/>
          <w:p>
            <w:pPr>
              <w:pStyle w:val="Compact"/>
              <w:jc w:val="center"/>
            </w:pPr>
            <w:r>
              <w:t xml:space="preserve">A depository participant as defined under the Depositories Act, registered with SEBI and who is eligible to procure Bids at the Designated CDP Locations in terms of circular no. CIR/CFD/POLICYCELL/11/2015 dated November 10, 2015 (to the extent not rescinded by the SEBI ICDR Master Circular in relation to the SEBI ICDR Regulations), issued by SEBI and other applicable circulars issued by SEBI as per the lists available on the websites of the StockExchanges at</w:t>
            </w:r>
            <w:r>
              <w:t xml:space="preserve"> </w:t>
            </w:r>
            <w:hyperlink r:id="rId31">
              <w:r>
                <w:rPr>
                  <w:rStyle w:val="Hyperlink"/>
                </w:rPr>
                <w:t xml:space="preserve">www.bseindia.com</w:t>
              </w:r>
            </w:hyperlink>
            <w:r>
              <w:t xml:space="preserve"> </w:t>
            </w:r>
            <w:r>
              <w:t xml:space="preserve">and</w:t>
            </w:r>
            <w:r>
              <w:t xml:space="preserve"> </w:t>
            </w:r>
            <w:hyperlink r:id="rId32">
              <w:r>
                <w:rPr>
                  <w:rStyle w:val="Hyperlink"/>
                </w:rPr>
                <w:t xml:space="preserve">www.nseindia.com</w:t>
              </w:r>
            </w:hyperlink>
            <w:r>
              <w:t xml:space="preserve">, as updated from time to time</w:t>
            </w:r>
          </w:p>
        </w:tc>
      </w:tr>
      <w:tr>
        <w:tc>
          <w:tcPr/>
          <w:p>
            <w:pPr>
              <w:pStyle w:val="Compact"/>
              <w:jc w:val="center"/>
            </w:pPr>
            <w:r>
              <w:t xml:space="preserve">Cut-off Price</w:t>
            </w:r>
          </w:p>
        </w:tc>
        <w:tc>
          <w:tcPr/>
          <w:p>
            <w:pPr>
              <w:pStyle w:val="Compact"/>
              <w:jc w:val="center"/>
            </w:pPr>
            <w:r>
              <w:t xml:space="preserve">Offer Price, finalised by our Company, in consultation with the BRLMs, which shall be any price within the Price Band.Only Retail Individual Investors Bidding in the Retail Portion are entitled to Bid at the Cut-offPrice. QIBs (including Anchor Investors) and Non-Institutional Investors are not entitled to Bid at the Cut-off Price</w:t>
            </w:r>
          </w:p>
        </w:tc>
      </w:tr>
      <w:tr>
        <w:tc>
          <w:tcPr/>
          <w:p>
            <w:pPr>
              <w:pStyle w:val="Compact"/>
              <w:jc w:val="center"/>
            </w:pPr>
            <w:r>
              <w:t xml:space="preserve">Demographic Details</w:t>
            </w:r>
          </w:p>
        </w:tc>
        <w:tc>
          <w:tcPr/>
          <w:p>
            <w:pPr>
              <w:pStyle w:val="Compact"/>
              <w:jc w:val="center"/>
            </w:pPr>
            <w:r>
              <w:t xml:space="preserve">Details of the Bidders including the Bidder’s address, name of the Bidder’s father/husband, investor status, occupation and bank account details and Initech LLC, where applicable</w:t>
            </w:r>
          </w:p>
        </w:tc>
      </w:tr>
      <w:tr>
        <w:tc>
          <w:tcPr/>
          <w:p>
            <w:pPr>
              <w:pStyle w:val="Compact"/>
              <w:jc w:val="center"/>
            </w:pPr>
            <w:r>
              <w:t xml:space="preserve">Hooli Inc</w:t>
            </w:r>
          </w:p>
        </w:tc>
        <w:tc>
          <w:tcPr/>
          <w:p>
            <w:pPr>
              <w:pStyle w:val="Compact"/>
              <w:jc w:val="center"/>
            </w:pPr>
            <w:r>
              <w:t xml:space="preserve">Such locations of the CDPs where Bidders (other than Anchor Investors) can submit the ASBA Forms. The details of such Hooli Inc, along with names and contact details of the Collecting Depository Participants eligible to accept ASBA Forms are available on therespective websites of the Stock Exchanges at</w:t>
            </w:r>
            <w:r>
              <w:t xml:space="preserve"> </w:t>
            </w:r>
            <w:hyperlink r:id="rId31">
              <w:r>
                <w:rPr>
                  <w:rStyle w:val="Hyperlink"/>
                </w:rPr>
                <w:t xml:space="preserve">www.bseindia.com</w:t>
              </w:r>
            </w:hyperlink>
            <w:r>
              <w:t xml:space="preserve"> </w:t>
            </w:r>
            <w:r>
              <w:t xml:space="preserve">and</w:t>
            </w:r>
            <w:r>
              <w:t xml:space="preserve"> </w:t>
            </w:r>
            <w:hyperlink r:id="rId32">
              <w:r>
                <w:rPr>
                  <w:rStyle w:val="Hyperlink"/>
                </w:rPr>
                <w:t xml:space="preserve">www.nseindia.com</w:t>
              </w:r>
            </w:hyperlink>
            <w:r>
              <w:t xml:space="preserve"> </w:t>
            </w:r>
            <w:r>
              <w:t xml:space="preserve">and updated from time to time</w:t>
            </w:r>
          </w:p>
        </w:tc>
      </w:tr>
      <w:tr>
        <w:tc>
          <w:tcPr/>
          <w:p>
            <w:pPr>
              <w:pStyle w:val="Compact"/>
              <w:jc w:val="center"/>
            </w:pPr>
            <w:r>
              <w:t xml:space="preserve">Designated Date</w:t>
            </w:r>
          </w:p>
        </w:tc>
        <w:tc>
          <w:tcPr/>
          <w:p>
            <w:pPr>
              <w:pStyle w:val="Compact"/>
              <w:jc w:val="center"/>
            </w:pPr>
            <w:r>
              <w:t xml:space="preserve">The date on which funds are transferred from the Escrow Accounts and the amounts blocked are transferred from the ASBA Accounts, as the case may be, to the Public Offer Account or the Refund Account, as appropriate, in terms of this Red Herring Prospectus and the Prospectus, afterfinalisation of the Basis of Allotment in consultation with Vandelay Industries, following which Globex Inc may be Allotted to successful Bidders in the Offer</w:t>
            </w:r>
          </w:p>
        </w:tc>
      </w:tr>
      <w:tr>
        <w:tc>
          <w:tcPr/>
          <w:p>
            <w:pPr>
              <w:pStyle w:val="Compact"/>
              <w:jc w:val="center"/>
            </w:pPr>
            <w:r>
              <w:t xml:space="preserve">Wayne Enterprises</w:t>
            </w:r>
          </w:p>
        </w:tc>
        <w:tc>
          <w:tcPr/>
          <w:p>
            <w:pPr>
              <w:pStyle w:val="Compact"/>
              <w:jc w:val="center"/>
            </w:pPr>
            <w:r>
              <w:t xml:space="preserve">In relation to ASBA Forms submitted by UPI Bidders (not using the UPI Mechanism) authorizing an SCSB to block the Bid Amount in the ASBA Account, Wayne Enterprises shall mean SCSBs.</w:t>
            </w:r>
          </w:p>
        </w:tc>
      </w:tr>
    </w:tbl>
    <w:p/>
    <w:tbl>
      <w:tblPr>
        <w:tblStyle w:val="Table"/>
        <w:tblW w:type="pct" w:w="5000"/>
        <w:tblLook w:firstRow="0" w:lastRow="0" w:firstColumn="0" w:lastColumn="0" w:noHBand="0" w:noVBand="0" w:val="0000"/>
        <w:jc w:val="start"/>
      </w:tblPr>
      <w:tblGrid>
        <w:gridCol w:w="3960"/>
        <w:gridCol w:w="3960"/>
      </w:tblGrid>
      <w:tr>
        <w:tc>
          <w:tcPr/>
          <w:p>
            <w:pPr>
              <w:pStyle w:val="Compact"/>
              <w:jc w:val="center"/>
            </w:pPr>
            <w:r>
              <w:t xml:space="preserve">Term</w:t>
            </w:r>
          </w:p>
        </w:tc>
        <w:tc>
          <w:tcPr/>
          <w:p>
            <w:pPr>
              <w:pStyle w:val="Compact"/>
              <w:jc w:val="center"/>
            </w:pPr>
            <w:r>
              <w:t xml:space="preserve">Description</w:t>
            </w:r>
          </w:p>
        </w:tc>
      </w:tr>
      <w:tr>
        <w:tc>
          <w:tcPr/>
          <w:p>
            <w:pPr>
              <w:pStyle w:val="Compact"/>
              <w:jc w:val="center"/>
            </w:pPr>
            <w:r>
              <w:t xml:space="preserve">In relation to ASBA Forms submitted by UPI Bidders where the Bid Amount will be blocked upon acceptance of Acme Corp by such UPI Bidders using the UPI Mechanism, Wayne Enterprises shall mean Syndicate, sub-syndicate, Registered Brokers, CDPs and RTAs.In relation to ASBA Forms submitted by QIBs and NIIs (not using the UPI Mechanism), Wayne Enterprises shall mean SCSBs, Syndicate, sub-Syndicate, Registered Brokers,CDPs and RTAs</w:t>
            </w:r>
          </w:p>
        </w:tc>
        <w:tc>
          <w:tcPr/>
          <w:p>
            <w:pPr>
              <w:pStyle w:val="Compact"/>
            </w:pPr>
          </w:p>
        </w:tc>
      </w:tr>
      <w:tr>
        <w:tc>
          <w:tcPr/>
          <w:p>
            <w:pPr>
              <w:pStyle w:val="Compact"/>
              <w:jc w:val="center"/>
            </w:pPr>
            <w:r>
              <w:t xml:space="preserve">Stark Industries</w:t>
            </w:r>
          </w:p>
        </w:tc>
        <w:tc>
          <w:tcPr/>
          <w:p>
            <w:pPr>
              <w:pStyle w:val="Compact"/>
              <w:jc w:val="center"/>
            </w:pPr>
            <w:r>
              <w:t xml:space="preserve">Such centres of the RTAs where ASBA Bidders can submit the ASBA Forms (in case of UPI Bidder only ASBA Forms under UPI). The details of such Stark Industries, along with the names and contact details of the RTAs are available on the respective websites of the StockExchanges at</w:t>
            </w:r>
            <w:r>
              <w:t xml:space="preserve"> </w:t>
            </w:r>
            <w:hyperlink r:id="rId31">
              <w:r>
                <w:rPr>
                  <w:rStyle w:val="Hyperlink"/>
                </w:rPr>
                <w:t xml:space="preserve">www.bseindia.com</w:t>
              </w:r>
            </w:hyperlink>
            <w:r>
              <w:t xml:space="preserve"> </w:t>
            </w:r>
            <w:r>
              <w:t xml:space="preserve">and</w:t>
            </w:r>
            <w:r>
              <w:t xml:space="preserve"> </w:t>
            </w:r>
            <w:hyperlink r:id="rId32">
              <w:r>
                <w:rPr>
                  <w:rStyle w:val="Hyperlink"/>
                </w:rPr>
                <w:t xml:space="preserve">www.nseindia.com</w:t>
              </w:r>
            </w:hyperlink>
            <w:r>
              <w:t xml:space="preserve"> </w:t>
            </w:r>
            <w:r>
              <w:t xml:space="preserve">and as updated from time to time</w:t>
            </w:r>
          </w:p>
        </w:tc>
      </w:tr>
      <w:tr>
        <w:tc>
          <w:tcPr/>
          <w:p>
            <w:pPr>
              <w:pStyle w:val="Compact"/>
              <w:jc w:val="center"/>
            </w:pPr>
            <w:r>
              <w:t xml:space="preserve">Umbrella Ltd</w:t>
            </w:r>
          </w:p>
        </w:tc>
        <w:tc>
          <w:tcPr/>
          <w:p>
            <w:pPr>
              <w:pStyle w:val="Compact"/>
              <w:jc w:val="center"/>
            </w:pPr>
            <w:r>
              <w:t xml:space="preserve">Such branches of the SCSBs which shall collect the ASBA Forms, a list of which is available on the website of SEBI at</w:t>
            </w:r>
            <w:r>
              <w:t xml:space="preserve"> </w:t>
            </w:r>
            <w:hyperlink r:id="rId33">
              <w:r>
                <w:rPr>
                  <w:rStyle w:val="Hyperlink"/>
                </w:rPr>
                <w:t xml:space="preserve">www.sebi.gov.in/sebiweb/other/OtherAction.do?doRecognised=yes</w:t>
              </w:r>
            </w:hyperlink>
            <w:r>
              <w:t xml:space="preserve"> </w:t>
            </w:r>
            <w:r>
              <w:t xml:space="preserve">or atsuch other website as may be prescribed by SEBI from time to time</w:t>
            </w:r>
          </w:p>
        </w:tc>
      </w:tr>
      <w:tr>
        <w:tc>
          <w:tcPr/>
          <w:p>
            <w:pPr>
              <w:pStyle w:val="Compact"/>
              <w:jc w:val="center"/>
            </w:pPr>
            <w:r>
              <w:t xml:space="preserve">Initech LLC</w:t>
            </w:r>
          </w:p>
        </w:tc>
        <w:tc>
          <w:tcPr/>
          <w:p>
            <w:pPr>
              <w:pStyle w:val="Compact"/>
              <w:jc w:val="center"/>
            </w:pPr>
            <w:r>
              <w:t xml:space="preserve">BSE</w:t>
            </w:r>
          </w:p>
        </w:tc>
      </w:tr>
      <w:tr>
        <w:tc>
          <w:tcPr/>
          <w:p>
            <w:pPr>
              <w:pStyle w:val="Compact"/>
              <w:jc w:val="center"/>
            </w:pPr>
            <w:r>
              <w:t xml:space="preserve">Draft Red Herring Prospectus/ DRHP</w:t>
            </w:r>
          </w:p>
        </w:tc>
        <w:tc>
          <w:tcPr/>
          <w:p>
            <w:pPr>
              <w:pStyle w:val="Compact"/>
              <w:jc w:val="center"/>
            </w:pPr>
            <w:r>
              <w:t xml:space="preserve">The draft red herring prospectus dated May 22, 2025, issued in accordance with the SEBI ICDR Regulations, which did not contain complete particulars of the price at which the Equity Shareswill be Allotted and the size of the Offer</w:t>
            </w:r>
          </w:p>
        </w:tc>
      </w:tr>
      <w:tr>
        <w:tc>
          <w:tcPr/>
          <w:p>
            <w:pPr>
              <w:pStyle w:val="Compact"/>
              <w:jc w:val="center"/>
            </w:pPr>
            <w:r>
              <w:t xml:space="preserve">Eligible FPI(s)</w:t>
            </w:r>
          </w:p>
        </w:tc>
        <w:tc>
          <w:tcPr/>
          <w:p>
            <w:pPr>
              <w:pStyle w:val="Compact"/>
              <w:jc w:val="center"/>
            </w:pPr>
            <w:r>
              <w:t xml:space="preserve">FPIs that are eligible to participate in this Offer in terms of applicable laws</w:t>
            </w:r>
          </w:p>
        </w:tc>
      </w:tr>
      <w:tr>
        <w:tc>
          <w:tcPr/>
          <w:p>
            <w:pPr>
              <w:pStyle w:val="Compact"/>
              <w:jc w:val="center"/>
            </w:pPr>
            <w:r>
              <w:t xml:space="preserve">Eligible NRI(s)</w:t>
            </w:r>
          </w:p>
        </w:tc>
        <w:tc>
          <w:tcPr/>
          <w:p>
            <w:pPr>
              <w:pStyle w:val="Compact"/>
              <w:jc w:val="center"/>
            </w:pPr>
            <w:r>
              <w:t xml:space="preserve">A non-resident Indian, resident in a jurisdiction outside India where it is not unlawful to make an offer or invitation under the Offer and in relation to whom this Red Herring Prospectus and the Bid Cum Application Form constitute an invitation to subscribe or purchase for the Equity Shares</w:t>
            </w:r>
          </w:p>
        </w:tc>
      </w:tr>
      <w:tr>
        <w:tc>
          <w:tcPr/>
          <w:p>
            <w:pPr>
              <w:pStyle w:val="Compact"/>
              <w:jc w:val="center"/>
            </w:pPr>
            <w:r>
              <w:t xml:space="preserve">Escrow Accounts</w:t>
            </w:r>
          </w:p>
        </w:tc>
        <w:tc>
          <w:tcPr/>
          <w:p>
            <w:pPr>
              <w:pStyle w:val="Compact"/>
              <w:jc w:val="center"/>
            </w:pPr>
            <w:r>
              <w:t xml:space="preserve">Accounts opened with Globex Inc and in whose favour Anchor Investors will transfer the money through direct credit/NEFT/RTGS/NACH in respect of the Bid Amount while submitting a Bid</w:t>
            </w:r>
          </w:p>
        </w:tc>
      </w:tr>
      <w:tr>
        <w:tc>
          <w:tcPr/>
          <w:p>
            <w:pPr>
              <w:pStyle w:val="Compact"/>
              <w:jc w:val="center"/>
            </w:pPr>
            <w:r>
              <w:t xml:space="preserve">Escrow Collection Bank</w:t>
            </w:r>
          </w:p>
        </w:tc>
        <w:tc>
          <w:tcPr/>
          <w:p>
            <w:pPr>
              <w:pStyle w:val="Compact"/>
              <w:jc w:val="center"/>
            </w:pPr>
            <w:r>
              <w:t xml:space="preserve">The bank, which is a clearing member registered with SEBI as banker to an issue under the SEBI BTI Regulations and with whom the Escrow Accounts have been opened, in this case being Globex Inc</w:t>
            </w:r>
          </w:p>
        </w:tc>
      </w:tr>
      <w:tr>
        <w:tc>
          <w:tcPr/>
          <w:p>
            <w:pPr>
              <w:pStyle w:val="Compact"/>
              <w:jc w:val="center"/>
            </w:pPr>
            <w:r>
              <w:t xml:space="preserve">First Bidder</w:t>
            </w:r>
          </w:p>
        </w:tc>
        <w:tc>
          <w:tcPr/>
          <w:p>
            <w:pPr>
              <w:pStyle w:val="Compact"/>
              <w:jc w:val="center"/>
            </w:pPr>
            <w:r>
              <w:t xml:space="preserve">Bidder whose name shall be mentioned in the Bid cum Application Form or the Revision Form and in case of joint Bids, whose name shall also appear as the first holder of the beneficiary account held in joint names</w:t>
            </w:r>
          </w:p>
        </w:tc>
      </w:tr>
      <w:tr>
        <w:tc>
          <w:tcPr/>
          <w:p>
            <w:pPr>
              <w:pStyle w:val="Compact"/>
              <w:jc w:val="center"/>
            </w:pPr>
            <w:r>
              <w:t xml:space="preserve">Floor Price</w:t>
            </w:r>
          </w:p>
        </w:tc>
        <w:tc>
          <w:tcPr/>
          <w:p>
            <w:pPr>
              <w:pStyle w:val="Compact"/>
              <w:jc w:val="center"/>
            </w:pPr>
            <w:r>
              <w:t xml:space="preserve">The lower end of the Price Band, subject to any revision(s) thereto, at or above which the OfferPrice and the Anchor Investor Offer Price will be finalised and below which no Bids will be accepted</w:t>
            </w:r>
          </w:p>
        </w:tc>
      </w:tr>
      <w:tr>
        <w:tc>
          <w:tcPr/>
          <w:p>
            <w:pPr>
              <w:pStyle w:val="Compact"/>
              <w:jc w:val="center"/>
            </w:pPr>
            <w:r>
              <w:t xml:space="preserve">Acme Corp</w:t>
            </w:r>
          </w:p>
        </w:tc>
        <w:tc>
          <w:tcPr/>
          <w:p>
            <w:pPr>
              <w:pStyle w:val="Compact"/>
              <w:jc w:val="center"/>
            </w:pPr>
            <w:r>
              <w:t xml:space="preserve">Fraudulent borrower as defined under Regulation 2(1)(lll) of the SEBI ICDR Regulations</w:t>
            </w:r>
          </w:p>
        </w:tc>
      </w:tr>
      <w:tr>
        <w:tc>
          <w:tcPr/>
          <w:p>
            <w:pPr>
              <w:pStyle w:val="Compact"/>
              <w:jc w:val="center"/>
            </w:pPr>
            <w:r>
              <w:t xml:space="preserve">Fresh Issue</w:t>
            </w:r>
          </w:p>
        </w:tc>
        <w:tc>
          <w:tcPr/>
          <w:p>
            <w:pPr>
              <w:pStyle w:val="Compact"/>
              <w:jc w:val="center"/>
            </w:pPr>
            <w:r>
              <w:t xml:space="preserve">The fresh issue of up to [●] Equity Shares of face value of ₹5 each by our Company, at ₹[●] per Stark Industries (including a premium of ₹[●] per Equity Share) aggregating up to ₹4,200.00 million. For information, see</w:t>
            </w:r>
            <w:r>
              <w:t xml:space="preserve"> </w:t>
            </w:r>
            <w:r>
              <w:t xml:space="preserve">“</w:t>
            </w:r>
            <w:r>
              <w:t xml:space="preserve">The Offer</w:t>
            </w:r>
            <w:r>
              <w:t xml:space="preserve">”</w:t>
            </w:r>
            <w:r>
              <w:t xml:space="preserve"> </w:t>
            </w:r>
            <w:r>
              <w:t xml:space="preserve">on page 67</w:t>
            </w:r>
          </w:p>
        </w:tc>
      </w:tr>
      <w:tr>
        <w:tc>
          <w:tcPr/>
          <w:p>
            <w:pPr>
              <w:pStyle w:val="Compact"/>
              <w:jc w:val="center"/>
            </w:pPr>
            <w:r>
              <w:t xml:space="preserve">Fugitive Economic Offender</w:t>
            </w:r>
          </w:p>
        </w:tc>
        <w:tc>
          <w:tcPr/>
          <w:p>
            <w:pPr>
              <w:pStyle w:val="Compact"/>
              <w:jc w:val="center"/>
            </w:pPr>
            <w:r>
              <w:t xml:space="preserve">An individual who is declared a fugitive economic offender under Section 12 of the Fugitive Economic Offenders Act, 2012</w:t>
            </w:r>
          </w:p>
        </w:tc>
      </w:tr>
      <w:tr>
        <w:tc>
          <w:tcPr/>
          <w:p>
            <w:pPr>
              <w:pStyle w:val="Compact"/>
              <w:jc w:val="center"/>
            </w:pPr>
            <w:r>
              <w:t xml:space="preserve">General Information Document</w:t>
            </w:r>
          </w:p>
        </w:tc>
        <w:tc>
          <w:tcPr/>
          <w:p>
            <w:pPr>
              <w:pStyle w:val="Compact"/>
              <w:jc w:val="center"/>
            </w:pPr>
            <w:r>
              <w:t xml:space="preserve">The General Information Document for investing in public offers, prepared and issued in accordance with the SEBI circular (SEBI/HO/CFD/DIL1/CIR/P/2020/37) dated March 17, 2020,issued by SEBI, suitably modified and updated pursuant to, among others, the UPI Circulars and any subsequent circulars or notifications issued by SEBI from time to time</w:t>
            </w:r>
          </w:p>
        </w:tc>
      </w:tr>
      <w:tr>
        <w:tc>
          <w:tcPr/>
          <w:p>
            <w:pPr>
              <w:pStyle w:val="Compact"/>
              <w:jc w:val="center"/>
            </w:pPr>
            <w:r>
              <w:t xml:space="preserve">GSM</w:t>
            </w:r>
          </w:p>
        </w:tc>
        <w:tc>
          <w:tcPr/>
          <w:p>
            <w:pPr>
              <w:pStyle w:val="Compact"/>
              <w:jc w:val="center"/>
            </w:pPr>
            <w:r>
              <w:t xml:space="preserve">Graded Surveillance Measures</w:t>
            </w:r>
          </w:p>
        </w:tc>
      </w:tr>
      <w:tr>
        <w:tc>
          <w:tcPr/>
          <w:p>
            <w:pPr>
              <w:pStyle w:val="Compact"/>
              <w:jc w:val="center"/>
            </w:pPr>
            <w:r>
              <w:t xml:space="preserve">Gross Proceeds</w:t>
            </w:r>
          </w:p>
        </w:tc>
        <w:tc>
          <w:tcPr/>
          <w:p>
            <w:pPr>
              <w:pStyle w:val="Compact"/>
              <w:jc w:val="center"/>
            </w:pPr>
            <w:r>
              <w:t xml:space="preserve">The gross proceeds of the Fresh Issue</w:t>
            </w:r>
          </w:p>
        </w:tc>
      </w:tr>
      <w:tr>
        <w:tc>
          <w:tcPr/>
          <w:p>
            <w:pPr>
              <w:pStyle w:val="Compact"/>
              <w:jc w:val="center"/>
            </w:pPr>
            <w:r>
              <w:t xml:space="preserve">ICICI Securities</w:t>
            </w:r>
          </w:p>
        </w:tc>
        <w:tc>
          <w:tcPr/>
          <w:p>
            <w:pPr>
              <w:pStyle w:val="Compact"/>
              <w:jc w:val="center"/>
            </w:pPr>
            <w:r>
              <w:t xml:space="preserve">ICICI Securities Limited</w:t>
            </w:r>
          </w:p>
        </w:tc>
      </w:tr>
      <w:tr>
        <w:tc>
          <w:tcPr/>
          <w:p>
            <w:pPr>
              <w:pStyle w:val="Compact"/>
              <w:jc w:val="center"/>
            </w:pPr>
            <w:r>
              <w:t xml:space="preserve">Life Insurance Companies</w:t>
            </w:r>
          </w:p>
        </w:tc>
        <w:tc>
          <w:tcPr/>
          <w:p>
            <w:pPr>
              <w:pStyle w:val="Compact"/>
              <w:jc w:val="center"/>
            </w:pPr>
            <w:r>
              <w:t xml:space="preserve">An entity registered with the Insurance Regulatory and Development Authority of India under the provisions of the Insurance Act, 1938</w:t>
            </w:r>
          </w:p>
        </w:tc>
      </w:tr>
      <w:tr>
        <w:tc>
          <w:tcPr/>
          <w:p>
            <w:pPr>
              <w:pStyle w:val="Compact"/>
              <w:jc w:val="center"/>
            </w:pPr>
            <w:r>
              <w:t xml:space="preserve">Vandelay Industries</w:t>
            </w:r>
          </w:p>
        </w:tc>
        <w:tc>
          <w:tcPr/>
          <w:p>
            <w:pPr>
              <w:pStyle w:val="Compact"/>
              <w:jc w:val="center"/>
            </w:pPr>
            <w:r>
              <w:t xml:space="preserve">The monitoring agency appointed pursuant to the Monitoring Agency Agreement, namely Soylent Corp</w:t>
            </w:r>
          </w:p>
        </w:tc>
      </w:tr>
      <w:tr>
        <w:tc>
          <w:tcPr/>
          <w:p>
            <w:pPr>
              <w:pStyle w:val="Compact"/>
              <w:jc w:val="center"/>
            </w:pPr>
            <w:r>
              <w:t xml:space="preserve">Wonka Ltd</w:t>
            </w:r>
          </w:p>
        </w:tc>
        <w:tc>
          <w:tcPr/>
          <w:p>
            <w:pPr>
              <w:pStyle w:val="Compact"/>
              <w:jc w:val="center"/>
            </w:pPr>
            <w:r>
              <w:t xml:space="preserve">The agreement dated December 6, 2025 entered into between our Company and the Vandelay Industries prior to filing of this Red Herring Prospectus</w:t>
            </w:r>
          </w:p>
        </w:tc>
      </w:tr>
      <w:tr>
        <w:tc>
          <w:tcPr/>
          <w:p>
            <w:pPr>
              <w:pStyle w:val="Compact"/>
              <w:jc w:val="center"/>
            </w:pPr>
            <w:r>
              <w:t xml:space="preserve">Mutual Fund Portion</w:t>
            </w:r>
          </w:p>
        </w:tc>
        <w:tc>
          <w:tcPr/>
          <w:p>
            <w:pPr>
              <w:pStyle w:val="Compact"/>
              <w:jc w:val="center"/>
            </w:pPr>
            <w:r>
              <w:t xml:space="preserve">The portion of the Offer being 5% of the Net QIB Portion consisting of [●] Equity Shares of face value of ₹5 each which shall be available for allocation to Hooli Inc only on a proportionate basis, subject to valid Bids being received at or above the Offer Price</w:t>
            </w:r>
          </w:p>
        </w:tc>
      </w:tr>
      <w:tr>
        <w:tc>
          <w:tcPr/>
          <w:p>
            <w:pPr>
              <w:pStyle w:val="Compact"/>
              <w:jc w:val="center"/>
            </w:pPr>
            <w:r>
              <w:t xml:space="preserve">Mutual Funds</w:t>
            </w:r>
          </w:p>
        </w:tc>
        <w:tc>
          <w:tcPr/>
          <w:p>
            <w:pPr>
              <w:pStyle w:val="Compact"/>
              <w:jc w:val="center"/>
            </w:pPr>
            <w:r>
              <w:t xml:space="preserve">Mutual funds registered with SEBI under the SEBI Mutual Funds Regulations</w:t>
            </w:r>
          </w:p>
        </w:tc>
      </w:tr>
      <w:tr>
        <w:tc>
          <w:tcPr/>
          <w:p>
            <w:pPr>
              <w:pStyle w:val="Compact"/>
              <w:jc w:val="center"/>
            </w:pPr>
            <w:r>
              <w:t xml:space="preserve">Net Proceeds</w:t>
            </w:r>
          </w:p>
        </w:tc>
        <w:tc>
          <w:tcPr/>
          <w:p>
            <w:pPr>
              <w:pStyle w:val="Compact"/>
              <w:jc w:val="center"/>
            </w:pPr>
            <w:r>
              <w:t xml:space="preserve">The proceeds of the Fresh Issue less our Company’s share of the Offer related expenses. For details regarding the use of the Net Proceeds and the Offer related expenses, see</w:t>
            </w:r>
            <w:r>
              <w:t xml:space="preserve"> </w:t>
            </w:r>
            <w:r>
              <w:t xml:space="preserve">“</w:t>
            </w:r>
            <w:r>
              <w:t xml:space="preserve">Objects of the Offer – Utilization of Net Proceeds</w:t>
            </w:r>
            <w:r>
              <w:t xml:space="preserve">”</w:t>
            </w:r>
            <w:r>
              <w:t xml:space="preserve"> </w:t>
            </w:r>
            <w:r>
              <w:t xml:space="preserve">on page 107</w:t>
            </w:r>
          </w:p>
        </w:tc>
      </w:tr>
      <w:tr>
        <w:tc>
          <w:tcPr/>
          <w:p>
            <w:pPr>
              <w:pStyle w:val="Compact"/>
              <w:jc w:val="center"/>
            </w:pPr>
            <w:r>
              <w:t xml:space="preserve">Net QIB Portion</w:t>
            </w:r>
          </w:p>
        </w:tc>
        <w:tc>
          <w:tcPr/>
          <w:p>
            <w:pPr>
              <w:pStyle w:val="Compact"/>
              <w:jc w:val="center"/>
            </w:pPr>
            <w:r>
              <w:t xml:space="preserve">The portion of the QIB Portion less the number of Vandelay Industries to the Anchor Investors</w:t>
            </w:r>
          </w:p>
        </w:tc>
      </w:tr>
      <w:tr>
        <w:tc>
          <w:tcPr/>
          <w:p>
            <w:pPr>
              <w:pStyle w:val="Compact"/>
              <w:jc w:val="center"/>
            </w:pPr>
            <w:r>
              <w:t xml:space="preserve">Non-Institutional Investors/ NIIs</w:t>
            </w:r>
          </w:p>
        </w:tc>
        <w:tc>
          <w:tcPr/>
          <w:p>
            <w:pPr>
              <w:pStyle w:val="Compact"/>
              <w:jc w:val="center"/>
            </w:pPr>
            <w:r>
              <w:t xml:space="preserve">All Bidders that are not QIBs or Retail Individual Investors and who have Bid for Equity Shares for an amount more than ₹0.20 million (but not including NRIs other than Eligible NRIs)</w:t>
            </w:r>
          </w:p>
        </w:tc>
      </w:tr>
      <w:tr>
        <w:tc>
          <w:tcPr/>
          <w:p>
            <w:pPr>
              <w:pStyle w:val="Compact"/>
              <w:jc w:val="center"/>
            </w:pPr>
            <w:r>
              <w:t xml:space="preserve">Soylent Corp</w:t>
            </w:r>
          </w:p>
        </w:tc>
        <w:tc>
          <w:tcPr/>
          <w:p>
            <w:pPr>
              <w:pStyle w:val="Compact"/>
              <w:jc w:val="center"/>
            </w:pPr>
            <w:r>
              <w:t xml:space="preserve">The portion of the Offer being not less than 15% of the Offer consisting of [●] Equity Shares of face value of ₹5 each which shall be available for allocation to Non-Institutional Investors, of which (a) one-third portion shall be reserved for applicants with application size of more than₹0.20 million and up to ₹1.00 million, and (b) two-thirds portion shall be reserved for applicants</w:t>
            </w:r>
          </w:p>
        </w:tc>
      </w:tr>
    </w:tbl>
    <w:p/>
    <w:tbl>
      <w:tblPr>
        <w:tblStyle w:val="Table"/>
        <w:tblW w:type="pct" w:w="5000"/>
        <w:tblLook w:firstRow="0" w:lastRow="0" w:firstColumn="0" w:lastColumn="0" w:noHBand="0" w:noVBand="0" w:val="0000"/>
        <w:jc w:val="start"/>
      </w:tblPr>
      <w:tblGrid>
        <w:gridCol w:w="3960"/>
        <w:gridCol w:w="3960"/>
      </w:tblGrid>
      <w:tr>
        <w:tc>
          <w:tcPr/>
          <w:p>
            <w:pPr>
              <w:pStyle w:val="Compact"/>
              <w:jc w:val="center"/>
            </w:pPr>
            <w:r>
              <w:t xml:space="preserve">Term</w:t>
            </w:r>
          </w:p>
        </w:tc>
        <w:tc>
          <w:tcPr/>
          <w:p>
            <w:pPr>
              <w:pStyle w:val="Compact"/>
              <w:jc w:val="center"/>
            </w:pPr>
            <w:r>
              <w:t xml:space="preserve">Description</w:t>
            </w:r>
          </w:p>
        </w:tc>
      </w:tr>
      <w:tr>
        <w:tc>
          <w:tcPr/>
          <w:p>
            <w:pPr>
              <w:pStyle w:val="Compact"/>
              <w:jc w:val="center"/>
            </w:pPr>
            <w:r>
              <w:t xml:space="preserve">with application size of more than ₹1.00 million, provided that the unsubscribed portion in either of such sub-categories may be allocated to applicants in the other sub-category of Non-Institutional Investors, subject to valid Bids being received at or above the Offer Price</w:t>
            </w:r>
          </w:p>
        </w:tc>
        <w:tc>
          <w:tcPr/>
          <w:p>
            <w:pPr>
              <w:pStyle w:val="Compact"/>
            </w:pPr>
          </w:p>
        </w:tc>
      </w:tr>
      <w:tr>
        <w:tc>
          <w:tcPr/>
          <w:p>
            <w:pPr>
              <w:pStyle w:val="Compact"/>
              <w:jc w:val="center"/>
            </w:pPr>
            <w:r>
              <w:t xml:space="preserve">Non-Resident</w:t>
            </w:r>
          </w:p>
        </w:tc>
        <w:tc>
          <w:tcPr/>
          <w:p>
            <w:pPr>
              <w:pStyle w:val="Compact"/>
              <w:jc w:val="center"/>
            </w:pPr>
            <w:r>
              <w:t xml:space="preserve">A person resident outside India, as defined under FEMA and includes NRIs, FPIs and FVCIs</w:t>
            </w:r>
          </w:p>
        </w:tc>
      </w:tr>
      <w:tr>
        <w:tc>
          <w:tcPr/>
          <w:p>
            <w:pPr>
              <w:pStyle w:val="Compact"/>
              <w:jc w:val="center"/>
            </w:pPr>
            <w:r>
              <w:t xml:space="preserve">Nuvama</w:t>
            </w:r>
          </w:p>
        </w:tc>
        <w:tc>
          <w:tcPr/>
          <w:p>
            <w:pPr>
              <w:pStyle w:val="Compact"/>
              <w:jc w:val="center"/>
            </w:pPr>
            <w:r>
              <w:t xml:space="preserve">Stark Industries</w:t>
            </w:r>
          </w:p>
        </w:tc>
      </w:tr>
      <w:tr>
        <w:tc>
          <w:tcPr/>
          <w:p>
            <w:pPr>
              <w:pStyle w:val="Compact"/>
              <w:jc w:val="center"/>
            </w:pPr>
            <w:r>
              <w:t xml:space="preserve">Offer</w:t>
            </w:r>
          </w:p>
        </w:tc>
        <w:tc>
          <w:tcPr/>
          <w:p>
            <w:pPr>
              <w:pStyle w:val="Compact"/>
              <w:jc w:val="center"/>
            </w:pPr>
            <w:r>
              <w:t xml:space="preserve">The initial public offering of up to [●] Equity Shares of face value of ₹5 each for cash at a price of ₹[●] each (including a share premium of ₹[●] each), aggregating up to ₹7,100.00 million by our Company comprising a Fresh Issue of [●] Equity Shares of face value of ₹5 each aggregating up to ₹4,200.00 million, an Offer for Sale of up to [●] Equity Shares of face value of ₹5 eachaggregating to ₹2,900.00 million by the Promoter Selling Shareholders</w:t>
            </w:r>
          </w:p>
        </w:tc>
      </w:tr>
      <w:tr>
        <w:tc>
          <w:tcPr/>
          <w:p>
            <w:pPr>
              <w:pStyle w:val="Compact"/>
              <w:jc w:val="center"/>
            </w:pPr>
            <w:r>
              <w:t xml:space="preserve">Offer Agreement</w:t>
            </w:r>
          </w:p>
        </w:tc>
        <w:tc>
          <w:tcPr/>
          <w:p>
            <w:pPr>
              <w:pStyle w:val="Compact"/>
              <w:jc w:val="center"/>
            </w:pPr>
            <w:r>
              <w:t xml:space="preserve">The agreement dated May 22, 2025, amongst our Company, the Promoter Selling Shareholders and the BRLMs, pursuant to which certain arrangements are agreed to in relation to the Offer</w:t>
            </w:r>
          </w:p>
        </w:tc>
      </w:tr>
      <w:tr>
        <w:tc>
          <w:tcPr/>
          <w:p>
            <w:pPr>
              <w:pStyle w:val="Compact"/>
              <w:jc w:val="center"/>
            </w:pPr>
            <w:r>
              <w:t xml:space="preserve">Offer for Sale</w:t>
            </w:r>
          </w:p>
        </w:tc>
        <w:tc>
          <w:tcPr/>
          <w:p>
            <w:pPr>
              <w:pStyle w:val="Compact"/>
              <w:jc w:val="center"/>
            </w:pPr>
            <w:r>
              <w:t xml:space="preserve">The offer for sale component of the Offer of up to [●] Equity Shares of face value of ₹5 each aggregating up to ₹2,900.00 million, comprising of an offer for sale of up to [●] Equity Shares of face value of ₹5 each by Mary Brown aggregating up to ₹1,528.00 million, up to [●] Equity Shares of face value of ₹5 each by Mary Wilson aggregating up to ₹422.00 million, up to [●] Equity Shares of face value of ₹5 each by Mary Lee aggregating up to ₹475.00 million and up to [●] Equity Shares of face value of ₹5 each by Chris Hall up to ₹475.00 million</w:t>
            </w:r>
          </w:p>
        </w:tc>
      </w:tr>
      <w:tr>
        <w:tc>
          <w:tcPr/>
          <w:p>
            <w:pPr>
              <w:pStyle w:val="Compact"/>
              <w:jc w:val="center"/>
            </w:pPr>
            <w:r>
              <w:t xml:space="preserve">Offer Price</w:t>
            </w:r>
          </w:p>
        </w:tc>
        <w:tc>
          <w:tcPr/>
          <w:p>
            <w:pPr>
              <w:pStyle w:val="Compact"/>
              <w:jc w:val="center"/>
            </w:pPr>
            <w:r>
              <w:t xml:space="preserve">₹[●] per Equity Share, being the final price within the Price Band, at which Globex Inc will be Allotted to successful Bidders, other than Anchor Investors as determined in accordance with the Book Building Process and determined by our Company, in consultation with the Book Running Lead Managers, in terms of this Red Herring Prospectus on the Pricing Date. Equity Shares will be Allotted to Anchor Investors at the Anchor Investor Offer Price in terms of this Red Herring Prospectus.The Offer Price will be decided by our Company, in consultation with the BRLMs on the Pricing Date, in accordance with the Book Building Process and in terms of this Red Herring Prospectus</w:t>
            </w:r>
          </w:p>
        </w:tc>
      </w:tr>
      <w:tr>
        <w:tc>
          <w:tcPr/>
          <w:p>
            <w:pPr>
              <w:pStyle w:val="Compact"/>
              <w:jc w:val="center"/>
            </w:pPr>
            <w:r>
              <w:t xml:space="preserve">Soylent Corp</w:t>
            </w:r>
          </w:p>
        </w:tc>
        <w:tc>
          <w:tcPr/>
          <w:p>
            <w:pPr>
              <w:pStyle w:val="Compact"/>
              <w:jc w:val="center"/>
            </w:pPr>
            <w:r>
              <w:t xml:space="preserve">The proceeds of the Fresh Issue which shall be available to our Company and the proceeds from the Offer for Sale which shall be available to the Promoter Selling Shareholders. For furtherinformation about use of the Offer Proceeds, please see section titled</w:t>
            </w:r>
            <w:r>
              <w:t xml:space="preserve"> </w:t>
            </w:r>
            <w:r>
              <w:t xml:space="preserve">“</w:t>
            </w:r>
            <w:r>
              <w:t xml:space="preserve">Objects of the Offer</w:t>
            </w:r>
            <w:r>
              <w:t xml:space="preserve">”</w:t>
            </w:r>
            <w:r>
              <w:t xml:space="preserve"> </w:t>
            </w:r>
            <w:r>
              <w:t xml:space="preserve">on page 106</w:t>
            </w:r>
          </w:p>
        </w:tc>
      </w:tr>
      <w:tr>
        <w:tc>
          <w:tcPr/>
          <w:p>
            <w:pPr>
              <w:pStyle w:val="Compact"/>
              <w:jc w:val="center"/>
            </w:pPr>
            <w:r>
              <w:t xml:space="preserve">Offered Shares</w:t>
            </w:r>
          </w:p>
        </w:tc>
        <w:tc>
          <w:tcPr/>
          <w:p>
            <w:pPr>
              <w:pStyle w:val="Compact"/>
              <w:jc w:val="center"/>
            </w:pPr>
            <w:r>
              <w:t xml:space="preserve">Up to [●] Equity Shares of face value of ₹5 each aggregating to ₹2,900.00 million being offered for sale by the Promoter Selling Shareholders in the Offer for Sale component of the Offer</w:t>
            </w:r>
          </w:p>
        </w:tc>
      </w:tr>
      <w:tr>
        <w:tc>
          <w:tcPr/>
          <w:p>
            <w:pPr>
              <w:pStyle w:val="Compact"/>
              <w:jc w:val="center"/>
            </w:pPr>
            <w:r>
              <w:t xml:space="preserve">Pension Fund</w:t>
            </w:r>
          </w:p>
        </w:tc>
        <w:tc>
          <w:tcPr/>
          <w:p>
            <w:pPr>
              <w:pStyle w:val="Compact"/>
              <w:jc w:val="center"/>
            </w:pPr>
            <w:r>
              <w:t xml:space="preserve">A fund registered with the Pension Fund Regulatory and Development Authority under theprovisions of the Pension Fund Regulatory and Development Authority Act, 2013</w:t>
            </w:r>
          </w:p>
        </w:tc>
      </w:tr>
      <w:tr>
        <w:tc>
          <w:tcPr/>
          <w:p>
            <w:pPr>
              <w:pStyle w:val="Compact"/>
              <w:jc w:val="center"/>
            </w:pPr>
            <w:r>
              <w:t xml:space="preserve">Price Band</w:t>
            </w:r>
          </w:p>
        </w:tc>
        <w:tc>
          <w:tcPr/>
          <w:p>
            <w:pPr>
              <w:pStyle w:val="Compact"/>
              <w:jc w:val="center"/>
            </w:pPr>
            <w:r>
              <w:t xml:space="preserve">Price band of a minimum price of ₹[●] per Stark Industries (Floor Price) and the maximum price of₹[●] per Equity Share (Cap Price) including any revisions thereof. The Cap Price shall be at least 105% of the Floor Price and shall be less than or equal to 120% of the Floor Price. The Price Band and the minimum Bid Lot for the Offer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 the regional language of Maharashtra, where our Stark Industries is situated) at least two Umbrella Ltd prior to the Bid/Offer Opening Date, with the relevant financial ratios calculated at the Floor Price and at the Cap Price, and shall be made available to the Stock Exchanges for thepurpose of uploading on their respective websites</w:t>
            </w:r>
          </w:p>
        </w:tc>
      </w:tr>
      <w:tr>
        <w:tc>
          <w:tcPr/>
          <w:p>
            <w:pPr>
              <w:pStyle w:val="Compact"/>
              <w:jc w:val="center"/>
            </w:pPr>
            <w:r>
              <w:t xml:space="preserve">Pricing Date</w:t>
            </w:r>
          </w:p>
        </w:tc>
        <w:tc>
          <w:tcPr/>
          <w:p>
            <w:pPr>
              <w:pStyle w:val="Compact"/>
              <w:jc w:val="center"/>
            </w:pPr>
            <w:r>
              <w:t xml:space="preserve">The date on which our Company, in consultation with the BRLMs, will finalise the Offer Price</w:t>
            </w:r>
          </w:p>
        </w:tc>
      </w:tr>
      <w:tr>
        <w:tc>
          <w:tcPr/>
          <w:p>
            <w:pPr>
              <w:pStyle w:val="Compact"/>
              <w:jc w:val="center"/>
            </w:pPr>
            <w:r>
              <w:t xml:space="preserve">Prospectus</w:t>
            </w:r>
          </w:p>
        </w:tc>
        <w:tc>
          <w:tcPr/>
          <w:p>
            <w:pPr>
              <w:pStyle w:val="Compact"/>
              <w:jc w:val="center"/>
            </w:pPr>
            <w:r>
              <w:t xml:space="preserve">The Prospectus to be filed with the RoC in accordance with the Companies Act, 2013, and the SEBI ICDR Regulations containing, inter alia, the Offer Price that is determined at the end of the Book Building Process, the size of the Offer and certain other information, including any addendaor corrigenda thereto</w:t>
            </w:r>
          </w:p>
        </w:tc>
      </w:tr>
      <w:tr>
        <w:tc>
          <w:tcPr/>
          <w:p>
            <w:pPr>
              <w:pStyle w:val="Compact"/>
              <w:jc w:val="center"/>
            </w:pPr>
            <w:r>
              <w:t xml:space="preserve">Public Offer Account Bank</w:t>
            </w:r>
          </w:p>
        </w:tc>
        <w:tc>
          <w:tcPr/>
          <w:p>
            <w:pPr>
              <w:pStyle w:val="Compact"/>
              <w:jc w:val="center"/>
            </w:pPr>
            <w:r>
              <w:t xml:space="preserve">The bank with which the Public Offer Account has been opened for collection of Bid Amounts from Escrow Accounts and ASBA Accounts on the Designated Date, in this case being ICICI Stark Industries</w:t>
            </w:r>
          </w:p>
        </w:tc>
      </w:tr>
      <w:tr>
        <w:tc>
          <w:tcPr/>
          <w:p>
            <w:pPr>
              <w:pStyle w:val="Compact"/>
              <w:jc w:val="center"/>
            </w:pPr>
            <w:r>
              <w:t xml:space="preserve">Public Offer Account</w:t>
            </w:r>
          </w:p>
        </w:tc>
        <w:tc>
          <w:tcPr/>
          <w:p>
            <w:pPr>
              <w:pStyle w:val="Compact"/>
              <w:jc w:val="center"/>
            </w:pPr>
            <w:r>
              <w:t xml:space="preserve">Wonka Ltd account opened with the Public Offer Account Bank under Section 40(3) of the Companies Act, 2013, to receive monies from the Escrow Accounts and ASBA Accounts on the Designated Date</w:t>
            </w:r>
          </w:p>
        </w:tc>
      </w:tr>
      <w:tr>
        <w:tc>
          <w:tcPr/>
          <w:p>
            <w:pPr>
              <w:pStyle w:val="Compact"/>
              <w:jc w:val="center"/>
            </w:pPr>
            <w:r>
              <w:t xml:space="preserve">QIB Portion</w:t>
            </w:r>
          </w:p>
        </w:tc>
        <w:tc>
          <w:tcPr/>
          <w:p>
            <w:pPr>
              <w:pStyle w:val="Compact"/>
              <w:jc w:val="center"/>
            </w:pPr>
            <w:r>
              <w:t xml:space="preserve">The category of the Offer (including the Anchor Investor Portion), being not more than 50% of the Offer, consisting of up to [●] Equity Shares of face value of ₹5 each aggregating to ₹[●] million, which shall be available for allocation to QIBs on a proportionate basis, including the Anchor Investor Portion (in which allocation shall be on a discretionary basis, as determined by our Company in consultation with the BRLMs subject to the provisions of the SEBI ICDRRegulations), subject to valid Bids being received at or above the Offer Price or the Anchor Investor Offer Price (for Anchor Investors)</w:t>
            </w:r>
          </w:p>
        </w:tc>
      </w:tr>
      <w:tr>
        <w:tc>
          <w:tcPr/>
          <w:p>
            <w:pPr>
              <w:pStyle w:val="Compact"/>
              <w:jc w:val="center"/>
            </w:pPr>
            <w:r>
              <w:t xml:space="preserve">Qualified Institutional Buyer(s)/ QIB(s)/ QIB Bidder(s)</w:t>
            </w:r>
          </w:p>
        </w:tc>
        <w:tc>
          <w:tcPr/>
          <w:p>
            <w:pPr>
              <w:pStyle w:val="Compact"/>
              <w:jc w:val="center"/>
            </w:pPr>
            <w:r>
              <w:t xml:space="preserve">Qualified institutional buyers as defined under Regulation 2(1)(ss) of the SEBI ICDR Regulations</w:t>
            </w:r>
          </w:p>
        </w:tc>
      </w:tr>
    </w:tbl>
    <w:p/>
    <w:tbl>
      <w:tblPr>
        <w:tblStyle w:val="Table"/>
        <w:tblW w:type="pct" w:w="5000"/>
        <w:tblLook w:firstRow="0" w:lastRow="0" w:firstColumn="0" w:lastColumn="0" w:noHBand="0" w:noVBand="0" w:val="0000"/>
        <w:jc w:val="start"/>
      </w:tblPr>
      <w:tblGrid>
        <w:gridCol w:w="3960"/>
        <w:gridCol w:w="3960"/>
      </w:tblGrid>
      <w:tr>
        <w:tc>
          <w:tcPr/>
          <w:p>
            <w:pPr>
              <w:pStyle w:val="Compact"/>
              <w:jc w:val="center"/>
            </w:pPr>
            <w:r>
              <w:t xml:space="preserve">Term</w:t>
            </w:r>
          </w:p>
        </w:tc>
        <w:tc>
          <w:tcPr/>
          <w:p>
            <w:pPr>
              <w:pStyle w:val="Compact"/>
              <w:jc w:val="center"/>
            </w:pPr>
            <w:r>
              <w:t xml:space="preserve">Description</w:t>
            </w:r>
          </w:p>
        </w:tc>
      </w:tr>
      <w:tr>
        <w:tc>
          <w:tcPr/>
          <w:p>
            <w:pPr>
              <w:pStyle w:val="Compact"/>
              <w:jc w:val="center"/>
            </w:pPr>
            <w:r>
              <w:t xml:space="preserve">Red Herring Prospectus/ RHP</w:t>
            </w:r>
          </w:p>
        </w:tc>
        <w:tc>
          <w:tcPr/>
          <w:p>
            <w:pPr>
              <w:pStyle w:val="Compact"/>
              <w:jc w:val="center"/>
            </w:pPr>
            <w:r>
              <w:t xml:space="preserve">This red herring prospectus dated December 10, 2025, issued in accordance with Section 32 of the Companies Act, 2013 and the provisions of the SEBI ICDR Regulations, which does not have complete particulars of the price at which the Equity Shares will be offered and the size of the Offer including any addenda or corrigenda theretoThe Bid/Offer Opening Date is December 16, 2025, which is at least three Umbrella Ltd after filing of this Red Herring Prospectus with the RoC. This Red Herring Prospectus will become theProspectus upon filing with the RoC after the Pricing Date, including any addenda or corrigenda thereto</w:t>
            </w:r>
          </w:p>
        </w:tc>
      </w:tr>
      <w:tr>
        <w:tc>
          <w:tcPr/>
          <w:p>
            <w:pPr>
              <w:pStyle w:val="Compact"/>
              <w:jc w:val="center"/>
            </w:pPr>
            <w:r>
              <w:t xml:space="preserve">Refund Account</w:t>
            </w:r>
          </w:p>
        </w:tc>
        <w:tc>
          <w:tcPr/>
          <w:p>
            <w:pPr>
              <w:pStyle w:val="Compact"/>
              <w:jc w:val="center"/>
            </w:pPr>
            <w:r>
              <w:t xml:space="preserve">The account opened with Hooli Inc, from which refunds, if any, of the whole or part of the Bid Amount to the Anchor Investors shall be made.</w:t>
            </w:r>
          </w:p>
        </w:tc>
      </w:tr>
      <w:tr>
        <w:tc>
          <w:tcPr/>
          <w:p>
            <w:pPr>
              <w:pStyle w:val="Compact"/>
              <w:jc w:val="center"/>
            </w:pPr>
            <w:r>
              <w:t xml:space="preserve">Wayne Enterprises</w:t>
            </w:r>
          </w:p>
        </w:tc>
        <w:tc>
          <w:tcPr/>
          <w:p>
            <w:pPr>
              <w:pStyle w:val="Compact"/>
              <w:jc w:val="center"/>
            </w:pPr>
            <w:r>
              <w:t xml:space="preserve">The bank which is a clearing member registered with SEBI under the SEBI BTI Regulations with whom the Refund Account has been opened, in this case being Globex Inc</w:t>
            </w:r>
          </w:p>
        </w:tc>
      </w:tr>
      <w:tr>
        <w:tc>
          <w:tcPr/>
          <w:p>
            <w:pPr>
              <w:pStyle w:val="Compact"/>
              <w:jc w:val="center"/>
            </w:pPr>
            <w:r>
              <w:t xml:space="preserve">Registered Brokers</w:t>
            </w:r>
          </w:p>
        </w:tc>
        <w:tc>
          <w:tcPr/>
          <w:p>
            <w:pPr>
              <w:pStyle w:val="Compact"/>
              <w:jc w:val="center"/>
            </w:pPr>
            <w:r>
              <w:t xml:space="preserve">Stockbrokers registered with the stock exchanges having nationwide terminals, other than the members of the Syndicate and eligible to procure Bids in terms of the SEBI ICDR Master Circular and the SEBI circular no. CIR/CFD/14/2012 dated October 4, 2012, and the UPI Circulars</w:t>
            </w:r>
          </w:p>
        </w:tc>
      </w:tr>
      <w:tr>
        <w:tc>
          <w:tcPr/>
          <w:p>
            <w:pPr>
              <w:pStyle w:val="Compact"/>
              <w:jc w:val="center"/>
            </w:pPr>
            <w:r>
              <w:t xml:space="preserve">RTAs/Registrar and John Parker</w:t>
            </w:r>
          </w:p>
        </w:tc>
        <w:tc>
          <w:tcPr/>
          <w:p>
            <w:pPr>
              <w:pStyle w:val="Compact"/>
              <w:jc w:val="center"/>
            </w:pPr>
            <w:r>
              <w:t xml:space="preserve">The registrar and share transfer agents registered with SEBI and eligible to procure Bids at theDesignated RTA Locations as per the list available on the websites of BSE and NSE, and the UPI Circulars</w:t>
            </w:r>
          </w:p>
        </w:tc>
      </w:tr>
      <w:tr>
        <w:tc>
          <w:tcPr/>
          <w:p>
            <w:pPr>
              <w:pStyle w:val="Compact"/>
              <w:jc w:val="center"/>
            </w:pPr>
            <w:r>
              <w:t xml:space="preserve">Registrar Agreement</w:t>
            </w:r>
          </w:p>
        </w:tc>
        <w:tc>
          <w:tcPr/>
          <w:p>
            <w:pPr>
              <w:pStyle w:val="Compact"/>
              <w:jc w:val="center"/>
            </w:pPr>
            <w:r>
              <w:t xml:space="preserve">The agreement dated May 22, 2025 between our Company, the Promoter Selling Shareholders and the Registrar to the Offer in relation to the responsibilities and obligations of the Registrar to the Offer pertaining to the Offer</w:t>
            </w:r>
          </w:p>
        </w:tc>
      </w:tr>
      <w:tr>
        <w:tc>
          <w:tcPr/>
          <w:p>
            <w:pPr>
              <w:pStyle w:val="Compact"/>
              <w:jc w:val="center"/>
            </w:pPr>
            <w:r>
              <w:t xml:space="preserve">Registrar to the Offer</w:t>
            </w:r>
          </w:p>
        </w:tc>
        <w:tc>
          <w:tcPr/>
          <w:p>
            <w:pPr>
              <w:pStyle w:val="Compact"/>
              <w:jc w:val="center"/>
            </w:pPr>
            <w:r>
              <w:t xml:space="preserve">Initech LLC (Formerly Link Intime India Private Limited)</w:t>
            </w:r>
          </w:p>
        </w:tc>
      </w:tr>
      <w:tr>
        <w:tc>
          <w:tcPr/>
          <w:p>
            <w:pPr>
              <w:pStyle w:val="Compact"/>
              <w:jc w:val="center"/>
            </w:pPr>
            <w:r>
              <w:t xml:space="preserve">Retail Individual Investors(s)/ RII(s)</w:t>
            </w:r>
          </w:p>
        </w:tc>
        <w:tc>
          <w:tcPr/>
          <w:p>
            <w:pPr>
              <w:pStyle w:val="Compact"/>
              <w:jc w:val="center"/>
            </w:pPr>
            <w:r>
              <w:t xml:space="preserve">Individual Bidders, who have Bid for the Equity Shares for an amount not more than ₹0.20 million in any of the bidding options in the Offer (including HUFs applying through their Karta and Eligible NRIs and does not include NRIs other than Eligible NRIs)</w:t>
            </w:r>
          </w:p>
        </w:tc>
      </w:tr>
      <w:tr>
        <w:tc>
          <w:tcPr/>
          <w:p>
            <w:pPr>
              <w:pStyle w:val="Compact"/>
              <w:jc w:val="center"/>
            </w:pPr>
            <w:r>
              <w:t xml:space="preserve">Retail Portion</w:t>
            </w:r>
          </w:p>
        </w:tc>
        <w:tc>
          <w:tcPr/>
          <w:p>
            <w:pPr>
              <w:pStyle w:val="Compact"/>
              <w:jc w:val="center"/>
            </w:pPr>
            <w:r>
              <w:t xml:space="preserve">The portion of the Offer being not less than 35% of the Offer consisting of [●] Equity Shares of face value of ₹5 each, available for allocation to Retail Individual Investors as per the SEBI ICDR Regulations, subject to valid Bids being received at or above the Offer Price</w:t>
            </w:r>
          </w:p>
        </w:tc>
      </w:tr>
      <w:tr>
        <w:tc>
          <w:tcPr/>
          <w:p>
            <w:pPr>
              <w:pStyle w:val="Compact"/>
              <w:jc w:val="center"/>
            </w:pPr>
            <w:r>
              <w:t xml:space="preserve">Revision Form</w:t>
            </w:r>
          </w:p>
        </w:tc>
        <w:tc>
          <w:tcPr/>
          <w:p>
            <w:pPr>
              <w:pStyle w:val="Compact"/>
              <w:jc w:val="center"/>
            </w:pPr>
            <w:r>
              <w:t xml:space="preserve">Form used by the Bidders to modify the quantity of the Equity Shares or the Bid Amount in any of their ASBA Form(s) or any previous Revision Form(s)QIB Bidders and Non-Institutional Investors are not allowed to withdraw or lower their Bids (in terms of quantity of Globex Inc or the Bid Amount) at any stage. Stark Industries revise their Bids during the Bid/Offer Period and withdraw their Bids until Bid/Offer Closing Date</w:t>
            </w:r>
          </w:p>
        </w:tc>
      </w:tr>
      <w:tr>
        <w:tc>
          <w:tcPr/>
          <w:p>
            <w:pPr>
              <w:pStyle w:val="Compact"/>
              <w:jc w:val="center"/>
            </w:pPr>
            <w:r>
              <w:t xml:space="preserve">SCORES</w:t>
            </w:r>
          </w:p>
        </w:tc>
        <w:tc>
          <w:tcPr/>
          <w:p>
            <w:pPr>
              <w:pStyle w:val="Compact"/>
              <w:jc w:val="center"/>
            </w:pPr>
            <w:r>
              <w:t xml:space="preserve">SEBI Complaints Redressal Mechanism</w:t>
            </w:r>
          </w:p>
        </w:tc>
      </w:tr>
      <w:tr>
        <w:tc>
          <w:tcPr/>
          <w:p>
            <w:pPr>
              <w:pStyle w:val="Compact"/>
              <w:jc w:val="center"/>
            </w:pPr>
            <w:r>
              <w:t xml:space="preserve">Umbrella Ltd Bank(s)/ SCSB(s)</w:t>
            </w:r>
          </w:p>
        </w:tc>
        <w:tc>
          <w:tcPr/>
          <w:p>
            <w:pPr>
              <w:pStyle w:val="Compact"/>
              <w:jc w:val="center"/>
            </w:pPr>
            <w:r>
              <w:t xml:space="preserve">The banks registered with SEBI, offering services in relation to ASBA (other than through UPI Mechanism), a list of which is available on the website of SEBI at</w:t>
            </w:r>
            <w:r>
              <w:t xml:space="preserve"> </w:t>
            </w:r>
            <w:hyperlink r:id="rId34">
              <w:r>
                <w:rPr>
                  <w:rStyle w:val="Hyperlink"/>
                </w:rPr>
                <w:t xml:space="preserve">www.sebi.gov.in/sebiweb/other/OtherAction.do?doRecognisedFpi=yes&amp;intmId=34</w:t>
              </w:r>
            </w:hyperlink>
            <w:r>
              <w:t xml:space="preserve"> </w:t>
            </w:r>
            <w:r>
              <w:t xml:space="preserve">or</w:t>
            </w:r>
            <w:r>
              <w:t xml:space="preserve"> </w:t>
            </w:r>
            <w:hyperlink r:id="rId35">
              <w:r>
                <w:rPr>
                  <w:rStyle w:val="Hyperlink"/>
                </w:rPr>
                <w:t xml:space="preserve">www.sebi.gov.in/sebiweb/other/OtherAction.do?doRecognisedFpi=yes&amp;intmId=35</w:t>
              </w:r>
            </w:hyperlink>
            <w:r>
              <w:t xml:space="preserve">, as applicable, or such other website as updated from time to time, andThe banks registered with SEBI, enabled for UPI Mechanism, a list of which is available on the website of SEBI at</w:t>
            </w:r>
            <w:hyperlink r:id="rId36">
              <w:r>
                <w:rPr>
                  <w:rStyle w:val="Hyperlink"/>
                </w:rPr>
                <w:t xml:space="preserve">www.sebi.gov.in/sebiweb/other/OtherAction.do?doRecognisedFpi=yes&amp;intmId=40</w:t>
              </w:r>
            </w:hyperlink>
            <w:r>
              <w:t xml:space="preserve"> </w:t>
            </w:r>
            <w:r>
              <w:t xml:space="preserve">or such other website as updated from time to time</w:t>
            </w:r>
          </w:p>
        </w:tc>
      </w:tr>
      <w:tr>
        <w:tc>
          <w:tcPr/>
          <w:p>
            <w:pPr>
              <w:pStyle w:val="Compact"/>
              <w:jc w:val="center"/>
            </w:pPr>
            <w:r>
              <w:t xml:space="preserve">Share Escrow Agent</w:t>
            </w:r>
          </w:p>
        </w:tc>
        <w:tc>
          <w:tcPr/>
          <w:p>
            <w:pPr>
              <w:pStyle w:val="Compact"/>
              <w:jc w:val="center"/>
            </w:pPr>
            <w:r>
              <w:t xml:space="preserve">The share escrow agent appointed pursuant to the Share Escrow Agreement, namely, Initech LLC (Formerly Link Intime India Private Limited)</w:t>
            </w:r>
          </w:p>
        </w:tc>
      </w:tr>
      <w:tr>
        <w:tc>
          <w:tcPr/>
          <w:p>
            <w:pPr>
              <w:pStyle w:val="Compact"/>
              <w:jc w:val="center"/>
            </w:pPr>
            <w:r>
              <w:t xml:space="preserve">Share Escrow Agreement</w:t>
            </w:r>
          </w:p>
        </w:tc>
        <w:tc>
          <w:tcPr/>
          <w:p>
            <w:pPr>
              <w:pStyle w:val="Compact"/>
              <w:jc w:val="center"/>
            </w:pPr>
            <w:r>
              <w:t xml:space="preserve">The agreement dated December 6, 2025 entered into between our Company, the Promoter Selling Shareholders and the Share Escrow Agent in connection with the transfer of the respective portion of Globex Inc being offered by each Promoter Selling Shareholder in the Offer for Sale portionof the Offer and credit of such Globex Inc to the demat account of the Allottees in accordance with the Basis of Allotment</w:t>
            </w:r>
          </w:p>
        </w:tc>
      </w:tr>
      <w:tr>
        <w:tc>
          <w:tcPr/>
          <w:p>
            <w:pPr>
              <w:pStyle w:val="Compact"/>
              <w:jc w:val="center"/>
            </w:pPr>
            <w:r>
              <w:t xml:space="preserve">Specified Locations</w:t>
            </w:r>
          </w:p>
        </w:tc>
        <w:tc>
          <w:tcPr/>
          <w:p>
            <w:pPr>
              <w:pStyle w:val="Compact"/>
              <w:jc w:val="center"/>
            </w:pPr>
            <w:r>
              <w:t xml:space="preserve">Bidding centres where the Syndicate shall accept ASBA Forms from Bidders, a list of which will be included in the Bid cum Application Form</w:t>
            </w:r>
          </w:p>
        </w:tc>
      </w:tr>
      <w:tr>
        <w:tc>
          <w:tcPr/>
          <w:p>
            <w:pPr>
              <w:pStyle w:val="Compact"/>
              <w:jc w:val="center"/>
            </w:pPr>
            <w:r>
              <w:t xml:space="preserve">Wayne Enterprises</w:t>
            </w:r>
          </w:p>
        </w:tc>
        <w:tc>
          <w:tcPr/>
          <w:p>
            <w:pPr>
              <w:pStyle w:val="Compact"/>
              <w:jc w:val="center"/>
            </w:pPr>
            <w:r>
              <w:t xml:space="preserve">The Bankers to the Offer registered with SEBI, which have been appointed by our Company to act as a conduit between the Stock Exchanges and NPCI in order to push the UPI Mandate Requestand/or payment instructions of the UPI Bidders using the UPI and carry out other responsibilities, in terms of the UPI Circulars, in this case being Globex Inc and ICICI Stark Industries</w:t>
            </w:r>
          </w:p>
        </w:tc>
      </w:tr>
      <w:tr>
        <w:tc>
          <w:tcPr/>
          <w:p>
            <w:pPr>
              <w:pStyle w:val="Compact"/>
              <w:jc w:val="center"/>
            </w:pPr>
            <w:r>
              <w:t xml:space="preserve">Stock Exchanges</w:t>
            </w:r>
          </w:p>
        </w:tc>
        <w:tc>
          <w:tcPr/>
          <w:p>
            <w:pPr>
              <w:pStyle w:val="Compact"/>
              <w:jc w:val="center"/>
            </w:pPr>
            <w:r>
              <w:t xml:space="preserve">Collectively, Vandelay Industries and Umbrella Ltd India Limited</w:t>
            </w:r>
          </w:p>
        </w:tc>
      </w:tr>
      <w:tr>
        <w:tc>
          <w:tcPr/>
          <w:p>
            <w:pPr>
              <w:pStyle w:val="Compact"/>
              <w:jc w:val="center"/>
            </w:pPr>
            <w:r>
              <w:t xml:space="preserve">STT</w:t>
            </w:r>
          </w:p>
        </w:tc>
        <w:tc>
          <w:tcPr/>
          <w:p>
            <w:pPr>
              <w:pStyle w:val="Compact"/>
              <w:jc w:val="center"/>
            </w:pPr>
            <w:r>
              <w:t xml:space="preserve">Securities transaction tax</w:t>
            </w:r>
          </w:p>
        </w:tc>
      </w:tr>
      <w:tr>
        <w:tc>
          <w:tcPr/>
          <w:p>
            <w:pPr>
              <w:pStyle w:val="Compact"/>
              <w:jc w:val="center"/>
            </w:pPr>
            <w:r>
              <w:t xml:space="preserve">Syndicate Agreement</w:t>
            </w:r>
          </w:p>
        </w:tc>
        <w:tc>
          <w:tcPr/>
          <w:p>
            <w:pPr>
              <w:pStyle w:val="Compact"/>
              <w:jc w:val="center"/>
            </w:pPr>
            <w:r>
              <w:t xml:space="preserve">Agreement dated December 9, 2025, entered into and amongst our Company, the Promoter SellingShareholders, the BRLMs, the Syndicate Members and the Registrar to the Offer in relation to collection of Bid cum Application Forms by Syndicate</w:t>
            </w:r>
          </w:p>
        </w:tc>
      </w:tr>
      <w:tr>
        <w:tc>
          <w:tcPr/>
          <w:p>
            <w:pPr>
              <w:pStyle w:val="Compact"/>
              <w:jc w:val="center"/>
            </w:pPr>
            <w:r>
              <w:t xml:space="preserve">Syndicate Members</w:t>
            </w:r>
          </w:p>
        </w:tc>
        <w:tc>
          <w:tcPr/>
          <w:p>
            <w:pPr>
              <w:pStyle w:val="Compact"/>
              <w:jc w:val="center"/>
            </w:pPr>
            <w:r>
              <w:t xml:space="preserve">Intermediaries (other than the BRLMs) registered with SEBI who are permitted to accept bids, applications and place order with respect to the Offer and carry out activities as an underwriter,namely, Stark Industries and ICICI Securities Limited</w:t>
            </w:r>
          </w:p>
        </w:tc>
      </w:tr>
    </w:tbl>
    <w:p/>
    <w:tbl>
      <w:tblPr>
        <w:tblStyle w:val="Table"/>
        <w:tblW w:type="pct" w:w="5000"/>
        <w:tblLook w:firstRow="0" w:lastRow="0" w:firstColumn="0" w:lastColumn="0" w:noHBand="0" w:noVBand="0" w:val="0000"/>
        <w:jc w:val="start"/>
      </w:tblPr>
      <w:tblGrid>
        <w:gridCol w:w="3960"/>
        <w:gridCol w:w="3960"/>
      </w:tblGrid>
      <w:tr>
        <w:tc>
          <w:tcPr/>
          <w:p>
            <w:pPr>
              <w:pStyle w:val="Compact"/>
              <w:jc w:val="center"/>
            </w:pPr>
            <w:r>
              <w:t xml:space="preserve">Term</w:t>
            </w:r>
          </w:p>
        </w:tc>
        <w:tc>
          <w:tcPr/>
          <w:p>
            <w:pPr>
              <w:pStyle w:val="Compact"/>
              <w:jc w:val="center"/>
            </w:pPr>
            <w:r>
              <w:t xml:space="preserve">Description</w:t>
            </w:r>
          </w:p>
        </w:tc>
      </w:tr>
      <w:tr>
        <w:tc>
          <w:tcPr/>
          <w:p>
            <w:pPr>
              <w:pStyle w:val="Compact"/>
              <w:jc w:val="center"/>
            </w:pPr>
            <w:r>
              <w:t xml:space="preserve">Syndicate/Members of the Syndicate</w:t>
            </w:r>
          </w:p>
        </w:tc>
        <w:tc>
          <w:tcPr/>
          <w:p>
            <w:pPr>
              <w:pStyle w:val="Compact"/>
              <w:jc w:val="center"/>
            </w:pPr>
            <w:r>
              <w:t xml:space="preserve">Together, the BRLMs and the Syndicate Members</w:t>
            </w:r>
          </w:p>
        </w:tc>
      </w:tr>
      <w:tr>
        <w:tc>
          <w:tcPr/>
          <w:p>
            <w:pPr>
              <w:pStyle w:val="Compact"/>
              <w:jc w:val="center"/>
            </w:pPr>
            <w:r>
              <w:t xml:space="preserve">Systemically Important Non-Banking Financial Company/ NBFC-SI</w:t>
            </w:r>
          </w:p>
        </w:tc>
        <w:tc>
          <w:tcPr/>
          <w:p>
            <w:pPr>
              <w:pStyle w:val="Compact"/>
              <w:jc w:val="center"/>
            </w:pPr>
            <w:r>
              <w:t xml:space="preserve">Systemically important non-banking financial company as defined under Regulation 2(1)(iii) of the SEBI ICDR Regulations</w:t>
            </w:r>
          </w:p>
        </w:tc>
      </w:tr>
      <w:tr>
        <w:tc>
          <w:tcPr/>
          <w:p>
            <w:pPr>
              <w:pStyle w:val="Compact"/>
              <w:jc w:val="center"/>
            </w:pPr>
            <w:r>
              <w:t xml:space="preserve">Underwriters</w:t>
            </w:r>
          </w:p>
        </w:tc>
        <w:tc>
          <w:tcPr/>
          <w:p>
            <w:pPr>
              <w:pStyle w:val="Compact"/>
              <w:jc w:val="center"/>
            </w:pPr>
            <w:r>
              <w:t xml:space="preserve">[●]</w:t>
            </w:r>
          </w:p>
        </w:tc>
      </w:tr>
      <w:tr>
        <w:tc>
          <w:tcPr/>
          <w:p>
            <w:pPr>
              <w:pStyle w:val="Compact"/>
              <w:jc w:val="center"/>
            </w:pPr>
            <w:r>
              <w:t xml:space="preserve">Underwriting Agreement</w:t>
            </w:r>
          </w:p>
        </w:tc>
        <w:tc>
          <w:tcPr/>
          <w:p>
            <w:pPr>
              <w:pStyle w:val="Compact"/>
              <w:jc w:val="center"/>
            </w:pPr>
            <w:r>
              <w:t xml:space="preserve">The agreement among the Underwriters, the Promoter Selling Shareholders and our Company to be entered into on or after the Pricing Date, but prior to filing of the Prospectus with the RoC</w:t>
            </w:r>
          </w:p>
        </w:tc>
      </w:tr>
      <w:tr>
        <w:tc>
          <w:tcPr/>
          <w:p>
            <w:pPr>
              <w:pStyle w:val="Compact"/>
              <w:jc w:val="center"/>
            </w:pPr>
            <w:r>
              <w:t xml:space="preserve">UPI</w:t>
            </w:r>
          </w:p>
        </w:tc>
        <w:tc>
          <w:tcPr/>
          <w:p>
            <w:pPr>
              <w:pStyle w:val="Compact"/>
              <w:jc w:val="center"/>
            </w:pPr>
            <w:r>
              <w:t xml:space="preserve">Unified Payments Interface, which is an instant payment mechanism, developed by NPCI</w:t>
            </w:r>
          </w:p>
        </w:tc>
      </w:tr>
      <w:tr>
        <w:tc>
          <w:tcPr/>
          <w:p>
            <w:pPr>
              <w:pStyle w:val="Compact"/>
              <w:jc w:val="center"/>
            </w:pPr>
            <w:r>
              <w:t xml:space="preserve">UPI Bidder(s)</w:t>
            </w:r>
          </w:p>
        </w:tc>
        <w:tc>
          <w:tcPr/>
          <w:p>
            <w:pPr>
              <w:pStyle w:val="Compact"/>
              <w:jc w:val="center"/>
            </w:pPr>
            <w:r>
              <w:t xml:space="preserve">Collectively, individual investors applying as Retail Individual Investors in the Retail Portion and individuals applying as Non-Institutional Investors with a Bid Amount of up to ₹0.50 million in the Non-Institutional Portion.Pursuant to the SEBI ICDR Master Circular, all individual investors applying in public issues where the application amount is up to ₹0.50 million shall use UPI and shall provide their Initech LLC in the bid-cum-application form submitted with: (i) a syndicate member, (ii) a stock broker registered with a recognized stock exchange (whose name is mentioned on the website of the stock exchange as eligible for such activity), (iii) a depository participant (whose name is mentioned on the website of the stock exchange as eligible for such activity), and (iv) a registrar to an issue and share transfer agent (whose name is mentioned on the website of the stock exchange as eligiblefor such activity)</w:t>
            </w:r>
          </w:p>
        </w:tc>
      </w:tr>
      <w:tr>
        <w:tc>
          <w:tcPr/>
          <w:p>
            <w:pPr>
              <w:pStyle w:val="Compact"/>
              <w:jc w:val="center"/>
            </w:pPr>
            <w:r>
              <w:t xml:space="preserve">Chris Walker</w:t>
            </w:r>
          </w:p>
        </w:tc>
        <w:tc>
          <w:tcPr/>
          <w:p>
            <w:pPr>
              <w:pStyle w:val="Compact"/>
              <w:jc w:val="center"/>
            </w:pPr>
            <w:r>
              <w:t xml:space="preserve">SEBI circular number SEBI/HO/CFD/DIL2/CIR/P/2019/85 dated July 26, 2019 and SEBI master circular with circular number SEBI/HO/MIRSD/POD-1/P/CIR/2024/37 dated May 7, 2024, SEBI ICDR Master Circular and any subsequent circulars or notifications issued by SEBI in this regard (to the extent that such circulars pertain to the UPI Mechanism), along with the circulars issued by the Stock Exchanges in this regard, including the circular issued by the NSE having reference number 25/2022 dated August 3, 2022, the circular issued by BSE having reference number 20220803-40 dated August 3, 2022 and SEBI circular number SEBI/HO/DEPA-II/DEPA-II_SRG/P/CIR/2025/86 dated June 11, 2025 and any subsequentcirculars or notifications issued by SEBI or Stock Exchanges in this regard from time to time</w:t>
            </w:r>
          </w:p>
        </w:tc>
      </w:tr>
      <w:tr>
        <w:tc>
          <w:tcPr/>
          <w:p>
            <w:pPr>
              <w:pStyle w:val="Compact"/>
              <w:jc w:val="center"/>
            </w:pPr>
            <w:r>
              <w:t xml:space="preserve">UPI ID</w:t>
            </w:r>
          </w:p>
        </w:tc>
        <w:tc>
          <w:tcPr/>
          <w:p>
            <w:pPr>
              <w:pStyle w:val="Compact"/>
              <w:jc w:val="center"/>
            </w:pPr>
            <w:r>
              <w:t xml:space="preserve">ID created on UPI for single-window mobile payment system developed by the NPCI</w:t>
            </w:r>
          </w:p>
        </w:tc>
      </w:tr>
      <w:tr>
        <w:tc>
          <w:tcPr/>
          <w:p>
            <w:pPr>
              <w:pStyle w:val="Compact"/>
              <w:jc w:val="center"/>
            </w:pPr>
            <w:r>
              <w:t xml:space="preserve">Acme Corp</w:t>
            </w:r>
          </w:p>
        </w:tc>
        <w:tc>
          <w:tcPr/>
          <w:p>
            <w:pPr>
              <w:pStyle w:val="Compact"/>
              <w:jc w:val="center"/>
            </w:pPr>
            <w:r>
              <w:t xml:space="preserve">A request (intimating the UPI Bidders, by way of a notification on the UPI linked mobile application as disclosed by SCSBs on the website of SEBI and by way of an SMS directing the UPI Bidders to such UPI linked mobile application) to the UPI Bidders using the UPI Mechanism initiated by the Sponsor Banks to authorize blocking of funds equivalent to the Bid Amount in the relevant ASBA Account through the UPI linked mobile application, and the subsequent debit offunds in case of Allotment</w:t>
            </w:r>
          </w:p>
        </w:tc>
      </w:tr>
      <w:tr>
        <w:tc>
          <w:tcPr/>
          <w:p>
            <w:pPr>
              <w:pStyle w:val="Compact"/>
              <w:jc w:val="center"/>
            </w:pPr>
            <w:r>
              <w:t xml:space="preserve">UPI Mechanism</w:t>
            </w:r>
          </w:p>
        </w:tc>
        <w:tc>
          <w:tcPr/>
          <w:p>
            <w:pPr>
              <w:pStyle w:val="Compact"/>
              <w:jc w:val="center"/>
            </w:pPr>
            <w:r>
              <w:t xml:space="preserve">The Bidding mechanism that may be used by UPI Bidders to make Bids in the Offer in accordance with Wonka Ltd</w:t>
            </w:r>
          </w:p>
        </w:tc>
      </w:tr>
      <w:tr>
        <w:tc>
          <w:tcPr/>
          <w:p>
            <w:pPr>
              <w:pStyle w:val="Compact"/>
              <w:jc w:val="center"/>
            </w:pPr>
            <w:r>
              <w:t xml:space="preserve">UPI PIN</w:t>
            </w:r>
          </w:p>
        </w:tc>
        <w:tc>
          <w:tcPr/>
          <w:p>
            <w:pPr>
              <w:pStyle w:val="Compact"/>
              <w:jc w:val="center"/>
            </w:pPr>
            <w:r>
              <w:t xml:space="preserve">Password to authenticate UPI transaction</w:t>
            </w:r>
          </w:p>
        </w:tc>
      </w:tr>
      <w:tr>
        <w:tc>
          <w:tcPr/>
          <w:p>
            <w:pPr>
              <w:pStyle w:val="Compact"/>
              <w:jc w:val="center"/>
            </w:pPr>
            <w:r>
              <w:t xml:space="preserve">Chris Clark</w:t>
            </w:r>
          </w:p>
        </w:tc>
        <w:tc>
          <w:tcPr/>
          <w:p>
            <w:pPr>
              <w:pStyle w:val="Compact"/>
              <w:jc w:val="center"/>
            </w:pPr>
            <w:r>
              <w:t xml:space="preserve">Wilful defaulter as defined under Regulation 2(1)(lll) of the SEBI ICDR Regulations</w:t>
            </w:r>
          </w:p>
        </w:tc>
      </w:tr>
      <w:tr>
        <w:tc>
          <w:tcPr/>
          <w:p>
            <w:pPr>
              <w:pStyle w:val="Compact"/>
              <w:jc w:val="center"/>
            </w:pPr>
            <w:r>
              <w:t xml:space="preserve">Working Day</w:t>
            </w:r>
          </w:p>
        </w:tc>
        <w:tc>
          <w:tcPr/>
          <w:p>
            <w:pPr>
              <w:pStyle w:val="Compact"/>
              <w:jc w:val="center"/>
            </w:pPr>
            <w:r>
              <w:t xml:space="preserve">All days on which commercial banks in Mumbai, India are open for business, provided however, for the purpose of announcement of the Price Band and the Bid/Offer Period,</w:t>
            </w:r>
            <w:r>
              <w:t xml:space="preserve"> </w:t>
            </w:r>
            <w:r>
              <w:t xml:space="preserve">“</w:t>
            </w:r>
            <w:r>
              <w:t xml:space="preserve">Working Day</w:t>
            </w:r>
            <w:r>
              <w:t xml:space="preserve">”</w:t>
            </w:r>
            <w:r>
              <w:t xml:space="preserve"> </w:t>
            </w:r>
            <w:r>
              <w:t xml:space="preserve">shall mean all days, excluding all Saturdays, Sundays and public holidays on which commercial banks in Maharashtra, India are open for business and the time period between the Bid/Offer Closing Date and listing of the Equity Shares on the Stock Exchanges,</w:t>
            </w:r>
            <w:r>
              <w:t xml:space="preserve"> </w:t>
            </w:r>
            <w:r>
              <w:t xml:space="preserve">“</w:t>
            </w:r>
            <w:r>
              <w:t xml:space="preserve">Working Day</w:t>
            </w:r>
            <w:r>
              <w:t xml:space="preserve">”</w:t>
            </w:r>
            <w:r>
              <w:t xml:space="preserve"> </w:t>
            </w:r>
            <w:r>
              <w:t xml:space="preserve">shall mean all trading days of the Stock Exchanges excluding Sundays and bank holidays in India inaccordance with circulars issued by SEBI, including Wonka Ltd</w:t>
            </w:r>
          </w:p>
        </w:tc>
      </w:tr>
    </w:tbl>
    <w:p>
      <w:pPr>
        <w:pStyle w:val="BodyText"/>
      </w:pPr>
      <w:r>
        <w:t xml:space="preserve">Conventional and General Terms and Abbreviations</w:t>
      </w:r>
    </w:p>
    <w:tbl>
      <w:tblPr>
        <w:tblStyle w:val="Table"/>
        <w:tblW w:type="pct" w:w="5000"/>
        <w:tblLook w:firstRow="0" w:lastRow="0" w:firstColumn="0" w:lastColumn="0" w:noHBand="0" w:noVBand="0" w:val="0000"/>
        <w:jc w:val="start"/>
      </w:tblPr>
      <w:tblGrid>
        <w:gridCol w:w="3960"/>
        <w:gridCol w:w="3960"/>
      </w:tblGrid>
      <w:tr>
        <w:tc>
          <w:tcPr/>
          <w:p>
            <w:pPr>
              <w:pStyle w:val="Compact"/>
              <w:jc w:val="center"/>
            </w:pPr>
            <w:r>
              <w:t xml:space="preserve">Term</w:t>
            </w:r>
          </w:p>
        </w:tc>
        <w:tc>
          <w:tcPr/>
          <w:p>
            <w:pPr>
              <w:pStyle w:val="Compact"/>
              <w:jc w:val="center"/>
            </w:pPr>
            <w:r>
              <w:t xml:space="preserve">Description</w:t>
            </w:r>
          </w:p>
        </w:tc>
      </w:tr>
      <w:tr>
        <w:tc>
          <w:tcPr/>
          <w:p>
            <w:pPr>
              <w:pStyle w:val="Compact"/>
              <w:jc w:val="center"/>
            </w:pPr>
            <w:r>
              <w:t xml:space="preserve">AIF</w:t>
            </w:r>
          </w:p>
        </w:tc>
        <w:tc>
          <w:tcPr/>
          <w:p>
            <w:pPr>
              <w:pStyle w:val="Compact"/>
              <w:jc w:val="center"/>
            </w:pPr>
            <w:r>
              <w:t xml:space="preserve">Alternate Investment Fund</w:t>
            </w:r>
          </w:p>
        </w:tc>
      </w:tr>
      <w:tr>
        <w:tc>
          <w:tcPr/>
          <w:p>
            <w:pPr>
              <w:pStyle w:val="Compact"/>
              <w:jc w:val="center"/>
            </w:pPr>
            <w:r>
              <w:t xml:space="preserve">A.Y.</w:t>
            </w:r>
          </w:p>
        </w:tc>
        <w:tc>
          <w:tcPr/>
          <w:p>
            <w:pPr>
              <w:pStyle w:val="Compact"/>
              <w:jc w:val="center"/>
            </w:pPr>
            <w:r>
              <w:t xml:space="preserve">Assessment year</w:t>
            </w:r>
          </w:p>
        </w:tc>
      </w:tr>
      <w:tr>
        <w:tc>
          <w:tcPr/>
          <w:p>
            <w:pPr>
              <w:pStyle w:val="Compact"/>
              <w:jc w:val="center"/>
            </w:pPr>
            <w:r>
              <w:t xml:space="preserve">BSE</w:t>
            </w:r>
          </w:p>
        </w:tc>
        <w:tc>
          <w:tcPr/>
          <w:p>
            <w:pPr>
              <w:pStyle w:val="Compact"/>
              <w:jc w:val="center"/>
            </w:pPr>
            <w:r>
              <w:t xml:space="preserve">Vandelay Industries</w:t>
            </w:r>
          </w:p>
        </w:tc>
      </w:tr>
      <w:tr>
        <w:tc>
          <w:tcPr/>
          <w:p>
            <w:pPr>
              <w:pStyle w:val="Compact"/>
              <w:jc w:val="center"/>
            </w:pPr>
            <w:r>
              <w:t xml:space="preserve">Calendar Year or year</w:t>
            </w:r>
          </w:p>
        </w:tc>
        <w:tc>
          <w:tcPr/>
          <w:p>
            <w:pPr>
              <w:pStyle w:val="Compact"/>
              <w:jc w:val="center"/>
            </w:pPr>
            <w:r>
              <w:t xml:space="preserve">Unless the context otherwise requires, shall refer to the twelve-month period ending December 31</w:t>
            </w:r>
          </w:p>
        </w:tc>
      </w:tr>
      <w:tr>
        <w:tc>
          <w:tcPr/>
          <w:p>
            <w:pPr>
              <w:pStyle w:val="Compact"/>
              <w:jc w:val="center"/>
            </w:pPr>
            <w:r>
              <w:t xml:space="preserve">Category I AIF</w:t>
            </w:r>
          </w:p>
        </w:tc>
        <w:tc>
          <w:tcPr/>
          <w:p>
            <w:pPr>
              <w:pStyle w:val="Compact"/>
              <w:jc w:val="center"/>
            </w:pPr>
            <w:r>
              <w:t xml:space="preserve">AIFs registered as</w:t>
            </w:r>
            <w:r>
              <w:t xml:space="preserve"> </w:t>
            </w:r>
            <w:r>
              <w:t xml:space="preserve">“</w:t>
            </w:r>
            <w:r>
              <w:t xml:space="preserve">Category I alternative investment funds</w:t>
            </w:r>
            <w:r>
              <w:t xml:space="preserve">”</w:t>
            </w:r>
            <w:r>
              <w:t xml:space="preserve"> </w:t>
            </w:r>
            <w:r>
              <w:t xml:space="preserve">under the SEBI AIF Regulations</w:t>
            </w:r>
          </w:p>
        </w:tc>
      </w:tr>
      <w:tr>
        <w:tc>
          <w:tcPr/>
          <w:p>
            <w:pPr>
              <w:pStyle w:val="Compact"/>
              <w:jc w:val="center"/>
            </w:pPr>
            <w:r>
              <w:t xml:space="preserve">Category I FPIs</w:t>
            </w:r>
          </w:p>
        </w:tc>
        <w:tc>
          <w:tcPr/>
          <w:p>
            <w:pPr>
              <w:pStyle w:val="Compact"/>
              <w:jc w:val="center"/>
            </w:pPr>
            <w:r>
              <w:t xml:space="preserve">FPIs registered as</w:t>
            </w:r>
            <w:r>
              <w:t xml:space="preserve"> </w:t>
            </w:r>
            <w:r>
              <w:t xml:space="preserve">“</w:t>
            </w:r>
            <w:r>
              <w:t xml:space="preserve">Category I foreign portfolio investors</w:t>
            </w:r>
            <w:r>
              <w:t xml:space="preserve">”</w:t>
            </w:r>
            <w:r>
              <w:t xml:space="preserve"> </w:t>
            </w:r>
            <w:r>
              <w:t xml:space="preserve">under the SEBI FPI Regulations</w:t>
            </w:r>
          </w:p>
        </w:tc>
      </w:tr>
      <w:tr>
        <w:tc>
          <w:tcPr/>
          <w:p>
            <w:pPr>
              <w:pStyle w:val="Compact"/>
              <w:jc w:val="center"/>
            </w:pPr>
            <w:r>
              <w:t xml:space="preserve">Category II AIF</w:t>
            </w:r>
          </w:p>
        </w:tc>
        <w:tc>
          <w:tcPr/>
          <w:p>
            <w:pPr>
              <w:pStyle w:val="Compact"/>
              <w:jc w:val="center"/>
            </w:pPr>
            <w:r>
              <w:t xml:space="preserve">AIFs registered as</w:t>
            </w:r>
            <w:r>
              <w:t xml:space="preserve"> </w:t>
            </w:r>
            <w:r>
              <w:t xml:space="preserve">“</w:t>
            </w:r>
            <w:r>
              <w:t xml:space="preserve">Category II alternative investment funds</w:t>
            </w:r>
            <w:r>
              <w:t xml:space="preserve">”</w:t>
            </w:r>
            <w:r>
              <w:t xml:space="preserve"> </w:t>
            </w:r>
            <w:r>
              <w:t xml:space="preserve">under the SEBI AIF Regulations</w:t>
            </w:r>
          </w:p>
        </w:tc>
      </w:tr>
      <w:tr>
        <w:tc>
          <w:tcPr/>
          <w:p>
            <w:pPr>
              <w:pStyle w:val="Compact"/>
              <w:jc w:val="center"/>
            </w:pPr>
            <w:r>
              <w:t xml:space="preserve">Category II FPIs</w:t>
            </w:r>
          </w:p>
        </w:tc>
        <w:tc>
          <w:tcPr/>
          <w:p>
            <w:pPr>
              <w:pStyle w:val="Compact"/>
              <w:jc w:val="center"/>
            </w:pPr>
            <w:r>
              <w:t xml:space="preserve">FPIs registered as</w:t>
            </w:r>
            <w:r>
              <w:t xml:space="preserve"> </w:t>
            </w:r>
            <w:r>
              <w:t xml:space="preserve">“</w:t>
            </w:r>
            <w:r>
              <w:t xml:space="preserve">Category II foreign portfolio investors</w:t>
            </w:r>
            <w:r>
              <w:t xml:space="preserve">”</w:t>
            </w:r>
            <w:r>
              <w:t xml:space="preserve"> </w:t>
            </w:r>
            <w:r>
              <w:t xml:space="preserve">under the SEBI FPI Regulations</w:t>
            </w:r>
          </w:p>
        </w:tc>
      </w:tr>
      <w:tr>
        <w:tc>
          <w:tcPr/>
          <w:p>
            <w:pPr>
              <w:pStyle w:val="Compact"/>
              <w:jc w:val="center"/>
            </w:pPr>
            <w:r>
              <w:t xml:space="preserve">Category III AIF</w:t>
            </w:r>
          </w:p>
        </w:tc>
        <w:tc>
          <w:tcPr/>
          <w:p>
            <w:pPr>
              <w:pStyle w:val="Compact"/>
              <w:jc w:val="center"/>
            </w:pPr>
            <w:r>
              <w:t xml:space="preserve">AIFs registered as</w:t>
            </w:r>
            <w:r>
              <w:t xml:space="preserve"> </w:t>
            </w:r>
            <w:r>
              <w:t xml:space="preserve">“</w:t>
            </w:r>
            <w:r>
              <w:t xml:space="preserve">Category III alternative investment funds</w:t>
            </w:r>
            <w:r>
              <w:t xml:space="preserve">”</w:t>
            </w:r>
            <w:r>
              <w:t xml:space="preserve"> </w:t>
            </w:r>
            <w:r>
              <w:t xml:space="preserve">under the SEBI AIF Regulations</w:t>
            </w:r>
          </w:p>
        </w:tc>
      </w:tr>
      <w:tr>
        <w:tc>
          <w:tcPr/>
          <w:p>
            <w:pPr>
              <w:pStyle w:val="Compact"/>
              <w:jc w:val="center"/>
            </w:pPr>
            <w:r>
              <w:t xml:space="preserve">CAGR</w:t>
            </w:r>
          </w:p>
        </w:tc>
        <w:tc>
          <w:tcPr/>
          <w:p>
            <w:pPr>
              <w:pStyle w:val="Compact"/>
              <w:jc w:val="center"/>
            </w:pPr>
            <w:r>
              <w:t xml:space="preserve">Compound Annual Growth Rate</w:t>
            </w:r>
          </w:p>
        </w:tc>
      </w:tr>
      <w:tr>
        <w:tc>
          <w:tcPr/>
          <w:p>
            <w:pPr>
              <w:pStyle w:val="Compact"/>
              <w:jc w:val="center"/>
            </w:pPr>
            <w:r>
              <w:t xml:space="preserve">CDSL</w:t>
            </w:r>
          </w:p>
        </w:tc>
        <w:tc>
          <w:tcPr/>
          <w:p>
            <w:pPr>
              <w:pStyle w:val="Compact"/>
              <w:jc w:val="center"/>
            </w:pPr>
            <w:r>
              <w:t xml:space="preserve">Soylent Corp (India) Limited</w:t>
            </w:r>
          </w:p>
        </w:tc>
      </w:tr>
      <w:tr>
        <w:tc>
          <w:tcPr/>
          <w:p>
            <w:pPr>
              <w:pStyle w:val="Compact"/>
              <w:jc w:val="center"/>
            </w:pPr>
            <w:r>
              <w:t xml:space="preserve">CESTAT</w:t>
            </w:r>
          </w:p>
        </w:tc>
        <w:tc>
          <w:tcPr/>
          <w:p>
            <w:pPr>
              <w:pStyle w:val="Compact"/>
              <w:jc w:val="center"/>
            </w:pPr>
            <w:r>
              <w:t xml:space="preserve">Customs, Excise and Service Tax Appellate Tribunal</w:t>
            </w:r>
          </w:p>
        </w:tc>
      </w:tr>
      <w:tr>
        <w:tc>
          <w:tcPr/>
          <w:p>
            <w:pPr>
              <w:pStyle w:val="Compact"/>
              <w:jc w:val="center"/>
            </w:pPr>
            <w:r>
              <w:t xml:space="preserve">Companies Act, 1956</w:t>
            </w:r>
          </w:p>
        </w:tc>
        <w:tc>
          <w:tcPr/>
          <w:p>
            <w:pPr>
              <w:pStyle w:val="Compact"/>
              <w:jc w:val="center"/>
            </w:pPr>
            <w:r>
              <w:t xml:space="preserve">Companies Act, 1956, and the rules, regulations, notifications, modifications and clarifications made thereunder, as the context requires</w:t>
            </w:r>
          </w:p>
        </w:tc>
      </w:tr>
      <w:tr>
        <w:tc>
          <w:tcPr/>
          <w:p>
            <w:pPr>
              <w:pStyle w:val="Compact"/>
              <w:jc w:val="center"/>
            </w:pPr>
            <w:r>
              <w:t xml:space="preserve">Companies Act, 2013/ Companies Act</w:t>
            </w:r>
          </w:p>
        </w:tc>
        <w:tc>
          <w:tcPr/>
          <w:p>
            <w:pPr>
              <w:pStyle w:val="Compact"/>
              <w:jc w:val="center"/>
            </w:pPr>
            <w:r>
              <w:t xml:space="preserve">Companies Act, 2013 and the rules, regulations, notifications, modifications and clarifications thereunder</w:t>
            </w:r>
          </w:p>
        </w:tc>
      </w:tr>
      <w:tr>
        <w:tc>
          <w:tcPr/>
          <w:p>
            <w:pPr>
              <w:pStyle w:val="Compact"/>
              <w:jc w:val="center"/>
            </w:pPr>
            <w:r>
              <w:t xml:space="preserve">CSR</w:t>
            </w:r>
          </w:p>
        </w:tc>
        <w:tc>
          <w:tcPr/>
          <w:p>
            <w:pPr>
              <w:pStyle w:val="Compact"/>
              <w:jc w:val="center"/>
            </w:pPr>
            <w:r>
              <w:t xml:space="preserve">Corporate social responsibility</w:t>
            </w:r>
          </w:p>
        </w:tc>
      </w:tr>
    </w:tbl>
    <w:p/>
    <w:tbl>
      <w:tblPr>
        <w:tblStyle w:val="Table"/>
        <w:tblW w:type="pct" w:w="5000"/>
        <w:tblLook w:firstRow="0" w:lastRow="0" w:firstColumn="0" w:lastColumn="0" w:noHBand="0" w:noVBand="0" w:val="0000"/>
        <w:jc w:val="start"/>
      </w:tblPr>
      <w:tblGrid>
        <w:gridCol w:w="3960"/>
        <w:gridCol w:w="3960"/>
      </w:tblGrid>
      <w:tr>
        <w:tc>
          <w:tcPr/>
          <w:p>
            <w:pPr>
              <w:pStyle w:val="Compact"/>
              <w:jc w:val="center"/>
            </w:pPr>
            <w:r>
              <w:t xml:space="preserve">Term</w:t>
            </w:r>
          </w:p>
        </w:tc>
        <w:tc>
          <w:tcPr/>
          <w:p>
            <w:pPr>
              <w:pStyle w:val="Compact"/>
              <w:jc w:val="center"/>
            </w:pPr>
            <w:r>
              <w:t xml:space="preserve">Description</w:t>
            </w:r>
          </w:p>
        </w:tc>
      </w:tr>
      <w:tr>
        <w:tc>
          <w:tcPr/>
          <w:p>
            <w:pPr>
              <w:pStyle w:val="Compact"/>
              <w:jc w:val="center"/>
            </w:pPr>
            <w:r>
              <w:t xml:space="preserve">Depositories Act</w:t>
            </w:r>
          </w:p>
        </w:tc>
        <w:tc>
          <w:tcPr/>
          <w:p>
            <w:pPr>
              <w:pStyle w:val="Compact"/>
              <w:jc w:val="center"/>
            </w:pPr>
            <w:r>
              <w:t xml:space="preserve">Depositories Act, 1996 read with the rules and regulations thereunder</w:t>
            </w:r>
          </w:p>
        </w:tc>
      </w:tr>
      <w:tr>
        <w:tc>
          <w:tcPr/>
          <w:p>
            <w:pPr>
              <w:pStyle w:val="Compact"/>
              <w:jc w:val="center"/>
            </w:pPr>
            <w:r>
              <w:t xml:space="preserve">Depository or Depositories</w:t>
            </w:r>
          </w:p>
        </w:tc>
        <w:tc>
          <w:tcPr/>
          <w:p>
            <w:pPr>
              <w:pStyle w:val="Compact"/>
              <w:jc w:val="center"/>
            </w:pPr>
            <w:r>
              <w:t xml:space="preserve">NSDL and/or CDSL</w:t>
            </w:r>
          </w:p>
        </w:tc>
      </w:tr>
      <w:tr>
        <w:tc>
          <w:tcPr/>
          <w:p>
            <w:pPr>
              <w:pStyle w:val="Compact"/>
              <w:jc w:val="center"/>
            </w:pPr>
            <w:r>
              <w:t xml:space="preserve">DIN</w:t>
            </w:r>
          </w:p>
        </w:tc>
        <w:tc>
          <w:tcPr/>
          <w:p>
            <w:pPr>
              <w:pStyle w:val="Compact"/>
              <w:jc w:val="center"/>
            </w:pPr>
            <w:r>
              <w:t xml:space="preserve">Director Identification Number</w:t>
            </w:r>
          </w:p>
        </w:tc>
      </w:tr>
      <w:tr>
        <w:tc>
          <w:tcPr/>
          <w:p>
            <w:pPr>
              <w:pStyle w:val="Compact"/>
              <w:jc w:val="center"/>
            </w:pPr>
            <w:r>
              <w:t xml:space="preserve">DP ID</w:t>
            </w:r>
          </w:p>
        </w:tc>
        <w:tc>
          <w:tcPr/>
          <w:p>
            <w:pPr>
              <w:pStyle w:val="Compact"/>
              <w:jc w:val="center"/>
            </w:pPr>
            <w:r>
              <w:t xml:space="preserve">Depository Participant’s Identification Number</w:t>
            </w:r>
          </w:p>
        </w:tc>
      </w:tr>
      <w:tr>
        <w:tc>
          <w:tcPr/>
          <w:p>
            <w:pPr>
              <w:pStyle w:val="Compact"/>
              <w:jc w:val="center"/>
            </w:pPr>
            <w:r>
              <w:t xml:space="preserve">DP/ Depository Participant</w:t>
            </w:r>
          </w:p>
        </w:tc>
        <w:tc>
          <w:tcPr/>
          <w:p>
            <w:pPr>
              <w:pStyle w:val="Compact"/>
              <w:jc w:val="center"/>
            </w:pPr>
            <w:r>
              <w:t xml:space="preserve">A depository participant as defined under the Depositories Act</w:t>
            </w:r>
          </w:p>
        </w:tc>
      </w:tr>
      <w:tr>
        <w:tc>
          <w:tcPr/>
          <w:p>
            <w:pPr>
              <w:pStyle w:val="Compact"/>
              <w:jc w:val="center"/>
            </w:pPr>
            <w:r>
              <w:t xml:space="preserve">DPIIT</w:t>
            </w:r>
          </w:p>
        </w:tc>
        <w:tc>
          <w:tcPr/>
          <w:p>
            <w:pPr>
              <w:pStyle w:val="Compact"/>
              <w:jc w:val="center"/>
            </w:pPr>
            <w:r>
              <w:t xml:space="preserve">The Department for Promotion of Industry and Internal Trade, Ministry of Commerce and Industry, Government of India</w:t>
            </w:r>
          </w:p>
        </w:tc>
      </w:tr>
      <w:tr>
        <w:tc>
          <w:tcPr/>
          <w:p>
            <w:pPr>
              <w:pStyle w:val="Compact"/>
              <w:jc w:val="center"/>
            </w:pPr>
            <w:r>
              <w:t xml:space="preserve">EBIT</w:t>
            </w:r>
          </w:p>
        </w:tc>
        <w:tc>
          <w:tcPr/>
          <w:p>
            <w:pPr>
              <w:pStyle w:val="Compact"/>
              <w:jc w:val="center"/>
            </w:pPr>
            <w:r>
              <w:t xml:space="preserve">Earnings before interest and taxes</w:t>
            </w:r>
          </w:p>
        </w:tc>
      </w:tr>
      <w:tr>
        <w:tc>
          <w:tcPr/>
          <w:p>
            <w:pPr>
              <w:pStyle w:val="Compact"/>
              <w:jc w:val="center"/>
            </w:pPr>
            <w:r>
              <w:t xml:space="preserve">Factories Act</w:t>
            </w:r>
          </w:p>
        </w:tc>
        <w:tc>
          <w:tcPr/>
          <w:p>
            <w:pPr>
              <w:pStyle w:val="Compact"/>
              <w:jc w:val="center"/>
            </w:pPr>
            <w:r>
              <w:t xml:space="preserve">Factories Act, 1948</w:t>
            </w:r>
          </w:p>
        </w:tc>
      </w:tr>
      <w:tr>
        <w:tc>
          <w:tcPr/>
          <w:p>
            <w:pPr>
              <w:pStyle w:val="Compact"/>
              <w:jc w:val="center"/>
            </w:pPr>
            <w:r>
              <w:t xml:space="preserve">FDI</w:t>
            </w:r>
          </w:p>
        </w:tc>
        <w:tc>
          <w:tcPr/>
          <w:p>
            <w:pPr>
              <w:pStyle w:val="Compact"/>
              <w:jc w:val="center"/>
            </w:pPr>
            <w:r>
              <w:t xml:space="preserve">Foreign direct investment</w:t>
            </w:r>
          </w:p>
        </w:tc>
      </w:tr>
      <w:tr>
        <w:tc>
          <w:tcPr/>
          <w:p>
            <w:pPr>
              <w:pStyle w:val="Compact"/>
              <w:jc w:val="center"/>
            </w:pPr>
            <w:r>
              <w:t xml:space="preserve">FEMA</w:t>
            </w:r>
          </w:p>
        </w:tc>
        <w:tc>
          <w:tcPr/>
          <w:p>
            <w:pPr>
              <w:pStyle w:val="Compact"/>
              <w:jc w:val="center"/>
            </w:pPr>
            <w:r>
              <w:t xml:space="preserve">Foreign Exchange Management Act, 1999, including the rules and regulations thereunder</w:t>
            </w:r>
          </w:p>
        </w:tc>
      </w:tr>
      <w:tr>
        <w:tc>
          <w:tcPr/>
          <w:p>
            <w:pPr>
              <w:pStyle w:val="Compact"/>
              <w:jc w:val="center"/>
            </w:pPr>
            <w:r>
              <w:t xml:space="preserve">FEMA Rules</w:t>
            </w:r>
          </w:p>
        </w:tc>
        <w:tc>
          <w:tcPr/>
          <w:p>
            <w:pPr>
              <w:pStyle w:val="Compact"/>
              <w:jc w:val="center"/>
            </w:pPr>
            <w:r>
              <w:t xml:space="preserve">Foreign Exchange Management (Non-debt Instruments) Rules, 2019</w:t>
            </w:r>
          </w:p>
        </w:tc>
      </w:tr>
      <w:tr>
        <w:tc>
          <w:tcPr/>
          <w:p>
            <w:pPr>
              <w:pStyle w:val="Compact"/>
              <w:jc w:val="center"/>
            </w:pPr>
            <w:r>
              <w:t xml:space="preserve">Finance Act</w:t>
            </w:r>
          </w:p>
        </w:tc>
        <w:tc>
          <w:tcPr/>
          <w:p>
            <w:pPr>
              <w:pStyle w:val="Compact"/>
              <w:jc w:val="center"/>
            </w:pPr>
            <w:r>
              <w:t xml:space="preserve">Act number 15 of 2024 dated August 16, 2024, to give effect to the financial proposals of the Government of India for the financial year 2024-25, which received the assent of the President of India on August 16, 2024</w:t>
            </w:r>
          </w:p>
        </w:tc>
      </w:tr>
      <w:tr>
        <w:tc>
          <w:tcPr/>
          <w:p>
            <w:pPr>
              <w:pStyle w:val="Compact"/>
              <w:jc w:val="center"/>
            </w:pPr>
            <w:r>
              <w:t xml:space="preserve">Finance Bill</w:t>
            </w:r>
          </w:p>
        </w:tc>
        <w:tc>
          <w:tcPr/>
          <w:p>
            <w:pPr>
              <w:pStyle w:val="Compact"/>
              <w:jc w:val="center"/>
            </w:pPr>
            <w:r>
              <w:t xml:space="preserve">Bill number 14 of 2025 dated February 1, 2025, introduced in the Lok Sabha, to give effect to the financial proposals of the Central Government for the financial year 2025-2026</w:t>
            </w:r>
          </w:p>
        </w:tc>
      </w:tr>
      <w:tr>
        <w:tc>
          <w:tcPr/>
          <w:p>
            <w:pPr>
              <w:pStyle w:val="Compact"/>
              <w:jc w:val="center"/>
            </w:pPr>
            <w:r>
              <w:t xml:space="preserve">Financial Year/ Fiscal</w:t>
            </w:r>
          </w:p>
        </w:tc>
        <w:tc>
          <w:tcPr/>
          <w:p>
            <w:pPr>
              <w:pStyle w:val="Compact"/>
              <w:jc w:val="center"/>
            </w:pPr>
            <w:r>
              <w:t xml:space="preserve">Period of twelve months ending on March 31 of that particular year, unless stated otherwise</w:t>
            </w:r>
          </w:p>
        </w:tc>
      </w:tr>
      <w:tr>
        <w:tc>
          <w:tcPr/>
          <w:p>
            <w:pPr>
              <w:pStyle w:val="Compact"/>
              <w:jc w:val="center"/>
            </w:pPr>
            <w:r>
              <w:t xml:space="preserve">FPI(s)</w:t>
            </w:r>
          </w:p>
        </w:tc>
        <w:tc>
          <w:tcPr/>
          <w:p>
            <w:pPr>
              <w:pStyle w:val="Compact"/>
              <w:jc w:val="center"/>
            </w:pPr>
            <w:r>
              <w:t xml:space="preserve">A foreign portfolio investor who has been registered pursuant to the SEBI FPI Regulations</w:t>
            </w:r>
          </w:p>
        </w:tc>
      </w:tr>
      <w:tr>
        <w:tc>
          <w:tcPr/>
          <w:p>
            <w:pPr>
              <w:pStyle w:val="Compact"/>
              <w:jc w:val="center"/>
            </w:pPr>
            <w:r>
              <w:t xml:space="preserve">Fugitive Economic Offender</w:t>
            </w:r>
          </w:p>
        </w:tc>
        <w:tc>
          <w:tcPr/>
          <w:p>
            <w:pPr>
              <w:pStyle w:val="Compact"/>
              <w:jc w:val="center"/>
            </w:pPr>
            <w:r>
              <w:t xml:space="preserve">An individual who is declared a fugitive economic offender under Section 12 of the Fugitive Economic Offenders Act, 2018</w:t>
            </w:r>
          </w:p>
        </w:tc>
      </w:tr>
      <w:tr>
        <w:tc>
          <w:tcPr/>
          <w:p>
            <w:pPr>
              <w:pStyle w:val="Compact"/>
              <w:jc w:val="center"/>
            </w:pPr>
            <w:r>
              <w:t xml:space="preserve">FVCI</w:t>
            </w:r>
          </w:p>
        </w:tc>
        <w:tc>
          <w:tcPr/>
          <w:p>
            <w:pPr>
              <w:pStyle w:val="Compact"/>
              <w:jc w:val="center"/>
            </w:pPr>
            <w:r>
              <w:t xml:space="preserve">Foreign Venture Capital Investors (as defined under the Securities and Exchange Board of India (Foreign Venture Capital Investor) Regulations, 2000) registered with SEBI</w:t>
            </w:r>
          </w:p>
        </w:tc>
      </w:tr>
      <w:tr>
        <w:tc>
          <w:tcPr/>
          <w:p>
            <w:pPr>
              <w:pStyle w:val="Compact"/>
              <w:jc w:val="center"/>
            </w:pPr>
            <w:r>
              <w:t xml:space="preserve">GoI / Central Government</w:t>
            </w:r>
          </w:p>
        </w:tc>
        <w:tc>
          <w:tcPr/>
          <w:p>
            <w:pPr>
              <w:pStyle w:val="Compact"/>
              <w:jc w:val="center"/>
            </w:pPr>
            <w:r>
              <w:t xml:space="preserve">Government of India</w:t>
            </w:r>
          </w:p>
        </w:tc>
      </w:tr>
      <w:tr>
        <w:tc>
          <w:tcPr/>
          <w:p>
            <w:pPr>
              <w:pStyle w:val="Compact"/>
              <w:jc w:val="center"/>
            </w:pPr>
            <w:r>
              <w:t xml:space="preserve">GST</w:t>
            </w:r>
          </w:p>
        </w:tc>
        <w:tc>
          <w:tcPr/>
          <w:p>
            <w:pPr>
              <w:pStyle w:val="Compact"/>
              <w:jc w:val="center"/>
            </w:pPr>
            <w:r>
              <w:t xml:space="preserve">Goods and services tax</w:t>
            </w:r>
          </w:p>
        </w:tc>
      </w:tr>
      <w:tr>
        <w:tc>
          <w:tcPr/>
          <w:p>
            <w:pPr>
              <w:pStyle w:val="Compact"/>
              <w:jc w:val="center"/>
            </w:pPr>
            <w:r>
              <w:t xml:space="preserve">HUF</w:t>
            </w:r>
          </w:p>
        </w:tc>
        <w:tc>
          <w:tcPr/>
          <w:p>
            <w:pPr>
              <w:pStyle w:val="Compact"/>
              <w:jc w:val="center"/>
            </w:pPr>
            <w:r>
              <w:t xml:space="preserve">Hindu undivided family</w:t>
            </w:r>
          </w:p>
        </w:tc>
      </w:tr>
      <w:tr>
        <w:tc>
          <w:tcPr/>
          <w:p>
            <w:pPr>
              <w:pStyle w:val="Compact"/>
              <w:jc w:val="center"/>
            </w:pPr>
            <w:r>
              <w:t xml:space="preserve">IATF</w:t>
            </w:r>
          </w:p>
        </w:tc>
        <w:tc>
          <w:tcPr/>
          <w:p>
            <w:pPr>
              <w:pStyle w:val="Compact"/>
              <w:jc w:val="center"/>
            </w:pPr>
            <w:r>
              <w:t xml:space="preserve">Globex Inc</w:t>
            </w:r>
          </w:p>
        </w:tc>
      </w:tr>
      <w:tr>
        <w:tc>
          <w:tcPr/>
          <w:p>
            <w:pPr>
              <w:pStyle w:val="Compact"/>
              <w:jc w:val="center"/>
            </w:pPr>
            <w:r>
              <w:t xml:space="preserve">I.T. Act</w:t>
            </w:r>
          </w:p>
        </w:tc>
        <w:tc>
          <w:tcPr/>
          <w:p>
            <w:pPr>
              <w:pStyle w:val="Compact"/>
              <w:jc w:val="center"/>
            </w:pPr>
            <w:r>
              <w:t xml:space="preserve">Income-tax Act, 1961</w:t>
            </w:r>
          </w:p>
        </w:tc>
      </w:tr>
      <w:tr>
        <w:tc>
          <w:tcPr/>
          <w:p>
            <w:pPr>
              <w:pStyle w:val="Compact"/>
              <w:jc w:val="center"/>
            </w:pPr>
            <w:r>
              <w:t xml:space="preserve">ICAI</w:t>
            </w:r>
          </w:p>
        </w:tc>
        <w:tc>
          <w:tcPr/>
          <w:p>
            <w:pPr>
              <w:pStyle w:val="Compact"/>
              <w:jc w:val="center"/>
            </w:pPr>
            <w:r>
              <w:t xml:space="preserve">The Institute of Chartered Accountants of India</w:t>
            </w:r>
          </w:p>
        </w:tc>
      </w:tr>
      <w:tr>
        <w:tc>
          <w:tcPr/>
          <w:p>
            <w:pPr>
              <w:pStyle w:val="Compact"/>
              <w:jc w:val="center"/>
            </w:pPr>
            <w:r>
              <w:t xml:space="preserve">IFRS</w:t>
            </w:r>
          </w:p>
        </w:tc>
        <w:tc>
          <w:tcPr/>
          <w:p>
            <w:pPr>
              <w:pStyle w:val="Compact"/>
              <w:jc w:val="center"/>
            </w:pPr>
            <w:r>
              <w:t xml:space="preserve">International Financial Reporting Standards</w:t>
            </w:r>
          </w:p>
        </w:tc>
      </w:tr>
      <w:tr>
        <w:tc>
          <w:tcPr/>
          <w:p>
            <w:pPr>
              <w:pStyle w:val="Compact"/>
              <w:jc w:val="center"/>
            </w:pPr>
            <w:r>
              <w:t xml:space="preserve">Ind AS</w:t>
            </w:r>
          </w:p>
        </w:tc>
        <w:tc>
          <w:tcPr/>
          <w:p>
            <w:pPr>
              <w:pStyle w:val="Compact"/>
              <w:jc w:val="center"/>
            </w:pPr>
            <w:r>
              <w:t xml:space="preserve">Accounting Standards notified under Section 133 of the Companies Act, 2013 read with the Companies (Indian Accounting Standards) Rules, 2015, as amended</w:t>
            </w:r>
          </w:p>
        </w:tc>
      </w:tr>
      <w:tr>
        <w:tc>
          <w:tcPr/>
          <w:p>
            <w:pPr>
              <w:pStyle w:val="Compact"/>
              <w:jc w:val="center"/>
            </w:pPr>
            <w:r>
              <w:t xml:space="preserve">Ind AS 24</w:t>
            </w:r>
          </w:p>
        </w:tc>
        <w:tc>
          <w:tcPr/>
          <w:p>
            <w:pPr>
              <w:pStyle w:val="Compact"/>
              <w:jc w:val="center"/>
            </w:pPr>
            <w:r>
              <w:t xml:space="preserve">Indian Accounting Standard 24,</w:t>
            </w:r>
            <w:r>
              <w:t xml:space="preserve"> </w:t>
            </w:r>
            <w:r>
              <w:t xml:space="preserve">“</w:t>
            </w:r>
            <w:r>
              <w:t xml:space="preserve">Related Party Disclosures</w:t>
            </w:r>
            <w:r>
              <w:t xml:space="preserve">”</w:t>
            </w:r>
            <w:r>
              <w:t xml:space="preserve">, notified under Section 133 of the Companies Act read with Companies (Indian Accounting Standards) Rules, 2015, as amendedfrom time to time</w:t>
            </w:r>
          </w:p>
        </w:tc>
      </w:tr>
      <w:tr>
        <w:tc>
          <w:tcPr/>
          <w:p>
            <w:pPr>
              <w:pStyle w:val="Compact"/>
              <w:jc w:val="center"/>
            </w:pPr>
            <w:r>
              <w:t xml:space="preserve">Indian GAAP</w:t>
            </w:r>
          </w:p>
        </w:tc>
        <w:tc>
          <w:tcPr/>
          <w:p>
            <w:pPr>
              <w:pStyle w:val="Compact"/>
              <w:jc w:val="center"/>
            </w:pPr>
            <w:r>
              <w:t xml:space="preserve">Generally Accepted Accounting Principles in India, being, accounting principles generally accepted in India including the accounting standards specified under Section 133 of theCompanies Act, 2013 read with Rule 7 of the Companies (Accounts) Rules, 2014, as amended</w:t>
            </w:r>
          </w:p>
        </w:tc>
      </w:tr>
      <w:tr>
        <w:tc>
          <w:tcPr/>
          <w:p>
            <w:pPr>
              <w:pStyle w:val="Compact"/>
              <w:jc w:val="center"/>
            </w:pPr>
            <w:r>
              <w:t xml:space="preserve">IPO</w:t>
            </w:r>
          </w:p>
        </w:tc>
        <w:tc>
          <w:tcPr/>
          <w:p>
            <w:pPr>
              <w:pStyle w:val="Compact"/>
              <w:jc w:val="center"/>
            </w:pPr>
            <w:r>
              <w:t xml:space="preserve">Initial public offer</w:t>
            </w:r>
          </w:p>
        </w:tc>
      </w:tr>
      <w:tr>
        <w:tc>
          <w:tcPr/>
          <w:p>
            <w:pPr>
              <w:pStyle w:val="Compact"/>
              <w:jc w:val="center"/>
            </w:pPr>
            <w:r>
              <w:t xml:space="preserve">ISO</w:t>
            </w:r>
          </w:p>
        </w:tc>
        <w:tc>
          <w:tcPr/>
          <w:p>
            <w:pPr>
              <w:pStyle w:val="Compact"/>
              <w:jc w:val="center"/>
            </w:pPr>
            <w:r>
              <w:t xml:space="preserve">International Organization for Standards</w:t>
            </w:r>
          </w:p>
        </w:tc>
      </w:tr>
      <w:tr>
        <w:tc>
          <w:tcPr/>
          <w:p>
            <w:pPr>
              <w:pStyle w:val="Compact"/>
              <w:jc w:val="center"/>
            </w:pPr>
            <w:r>
              <w:t xml:space="preserve">IST</w:t>
            </w:r>
          </w:p>
        </w:tc>
        <w:tc>
          <w:tcPr/>
          <w:p>
            <w:pPr>
              <w:pStyle w:val="Compact"/>
              <w:jc w:val="center"/>
            </w:pPr>
            <w:r>
              <w:t xml:space="preserve">Indian Standard Time</w:t>
            </w:r>
          </w:p>
        </w:tc>
      </w:tr>
      <w:tr>
        <w:tc>
          <w:tcPr/>
          <w:p>
            <w:pPr>
              <w:pStyle w:val="Compact"/>
              <w:jc w:val="center"/>
            </w:pPr>
            <w:r>
              <w:t xml:space="preserve">IT</w:t>
            </w:r>
          </w:p>
        </w:tc>
        <w:tc>
          <w:tcPr/>
          <w:p>
            <w:pPr>
              <w:pStyle w:val="Compact"/>
              <w:jc w:val="center"/>
            </w:pPr>
            <w:r>
              <w:t xml:space="preserve">Information technology</w:t>
            </w:r>
          </w:p>
        </w:tc>
      </w:tr>
      <w:tr>
        <w:tc>
          <w:tcPr/>
          <w:p>
            <w:pPr>
              <w:pStyle w:val="Compact"/>
              <w:jc w:val="center"/>
            </w:pPr>
            <w:r>
              <w:t xml:space="preserve">LEI</w:t>
            </w:r>
          </w:p>
        </w:tc>
        <w:tc>
          <w:tcPr/>
          <w:p>
            <w:pPr>
              <w:pStyle w:val="Compact"/>
              <w:jc w:val="center"/>
            </w:pPr>
            <w:r>
              <w:t xml:space="preserve">Legal entity identifier</w:t>
            </w:r>
          </w:p>
        </w:tc>
      </w:tr>
      <w:tr>
        <w:tc>
          <w:tcPr/>
          <w:p>
            <w:pPr>
              <w:pStyle w:val="Compact"/>
              <w:jc w:val="center"/>
            </w:pPr>
            <w:r>
              <w:t xml:space="preserve">MCLR</w:t>
            </w:r>
          </w:p>
        </w:tc>
        <w:tc>
          <w:tcPr/>
          <w:p>
            <w:pPr>
              <w:pStyle w:val="Compact"/>
              <w:jc w:val="center"/>
            </w:pPr>
            <w:r>
              <w:t xml:space="preserve">Marginal cost of funds based lending rate</w:t>
            </w:r>
          </w:p>
        </w:tc>
      </w:tr>
      <w:tr>
        <w:tc>
          <w:tcPr/>
          <w:p>
            <w:pPr>
              <w:pStyle w:val="Compact"/>
              <w:jc w:val="center"/>
            </w:pPr>
            <w:r>
              <w:t xml:space="preserve">Mn/ mn</w:t>
            </w:r>
          </w:p>
        </w:tc>
        <w:tc>
          <w:tcPr/>
          <w:p>
            <w:pPr>
              <w:pStyle w:val="Compact"/>
              <w:jc w:val="center"/>
            </w:pPr>
            <w:r>
              <w:t xml:space="preserve">Million</w:t>
            </w:r>
          </w:p>
        </w:tc>
      </w:tr>
      <w:tr>
        <w:tc>
          <w:tcPr/>
          <w:p>
            <w:pPr>
              <w:pStyle w:val="Compact"/>
              <w:jc w:val="center"/>
            </w:pPr>
            <w:r>
              <w:t xml:space="preserve">MT</w:t>
            </w:r>
          </w:p>
        </w:tc>
        <w:tc>
          <w:tcPr/>
          <w:p>
            <w:pPr>
              <w:pStyle w:val="Compact"/>
              <w:jc w:val="center"/>
            </w:pPr>
            <w:r>
              <w:t xml:space="preserve">Metric ton</w:t>
            </w:r>
          </w:p>
        </w:tc>
      </w:tr>
      <w:tr>
        <w:tc>
          <w:tcPr/>
          <w:p>
            <w:pPr>
              <w:pStyle w:val="Compact"/>
              <w:jc w:val="center"/>
            </w:pPr>
            <w:r>
              <w:t xml:space="preserve">N.A. or NA</w:t>
            </w:r>
          </w:p>
        </w:tc>
        <w:tc>
          <w:tcPr/>
          <w:p>
            <w:pPr>
              <w:pStyle w:val="Compact"/>
              <w:jc w:val="center"/>
            </w:pPr>
            <w:r>
              <w:t xml:space="preserve">Not applicable</w:t>
            </w:r>
          </w:p>
        </w:tc>
      </w:tr>
      <w:tr>
        <w:tc>
          <w:tcPr/>
          <w:p>
            <w:pPr>
              <w:pStyle w:val="Compact"/>
              <w:jc w:val="center"/>
            </w:pPr>
            <w:r>
              <w:t xml:space="preserve">NACH</w:t>
            </w:r>
          </w:p>
        </w:tc>
        <w:tc>
          <w:tcPr/>
          <w:p>
            <w:pPr>
              <w:pStyle w:val="Compact"/>
              <w:jc w:val="center"/>
            </w:pPr>
            <w:r>
              <w:t xml:space="preserve">Hooli Inc</w:t>
            </w:r>
          </w:p>
        </w:tc>
      </w:tr>
      <w:tr>
        <w:tc>
          <w:tcPr/>
          <w:p>
            <w:pPr>
              <w:pStyle w:val="Compact"/>
              <w:jc w:val="center"/>
            </w:pPr>
            <w:r>
              <w:t xml:space="preserve">NEFT</w:t>
            </w:r>
          </w:p>
        </w:tc>
        <w:tc>
          <w:tcPr/>
          <w:p>
            <w:pPr>
              <w:pStyle w:val="Compact"/>
              <w:jc w:val="center"/>
            </w:pPr>
            <w:r>
              <w:t xml:space="preserve">National electronic fund transfer</w:t>
            </w:r>
          </w:p>
        </w:tc>
      </w:tr>
      <w:tr>
        <w:tc>
          <w:tcPr/>
          <w:p>
            <w:pPr>
              <w:pStyle w:val="Compact"/>
              <w:jc w:val="center"/>
            </w:pPr>
            <w:r>
              <w:t xml:space="preserve">Non-Resident</w:t>
            </w:r>
          </w:p>
        </w:tc>
        <w:tc>
          <w:tcPr/>
          <w:p>
            <w:pPr>
              <w:pStyle w:val="Compact"/>
              <w:jc w:val="center"/>
            </w:pPr>
            <w:r>
              <w:t xml:space="preserve">A person resident outside India, as defined under FEMA</w:t>
            </w:r>
          </w:p>
        </w:tc>
      </w:tr>
      <w:tr>
        <w:tc>
          <w:tcPr/>
          <w:p>
            <w:pPr>
              <w:pStyle w:val="Compact"/>
              <w:jc w:val="center"/>
            </w:pPr>
            <w:r>
              <w:t xml:space="preserve">NPCI</w:t>
            </w:r>
          </w:p>
        </w:tc>
        <w:tc>
          <w:tcPr/>
          <w:p>
            <w:pPr>
              <w:pStyle w:val="Compact"/>
              <w:jc w:val="center"/>
            </w:pPr>
            <w:r>
              <w:t xml:space="preserve">National Payments Corporation of India</w:t>
            </w:r>
          </w:p>
        </w:tc>
      </w:tr>
      <w:tr>
        <w:tc>
          <w:tcPr/>
          <w:p>
            <w:pPr>
              <w:pStyle w:val="Compact"/>
              <w:jc w:val="center"/>
            </w:pPr>
            <w:r>
              <w:t xml:space="preserve">NRE Account</w:t>
            </w:r>
          </w:p>
        </w:tc>
        <w:tc>
          <w:tcPr/>
          <w:p>
            <w:pPr>
              <w:pStyle w:val="Compact"/>
              <w:jc w:val="center"/>
            </w:pPr>
            <w:r>
              <w:t xml:space="preserve">Non-resident external account established in accordance with Wayne Enterprises) Regulations, 2016</w:t>
            </w:r>
          </w:p>
        </w:tc>
      </w:tr>
      <w:tr>
        <w:tc>
          <w:tcPr/>
          <w:p>
            <w:pPr>
              <w:pStyle w:val="Compact"/>
              <w:jc w:val="center"/>
            </w:pPr>
            <w:r>
              <w:t xml:space="preserve">NRI</w:t>
            </w:r>
          </w:p>
        </w:tc>
        <w:tc>
          <w:tcPr/>
          <w:p>
            <w:pPr>
              <w:pStyle w:val="Compact"/>
              <w:jc w:val="center"/>
            </w:pPr>
            <w:r>
              <w:t xml:space="preserve">A person resident outside India who is a citizen of India as defined under Wayne Enterprises) Regulations, 2016 or is an</w:t>
            </w:r>
            <w:r>
              <w:t xml:space="preserve"> </w:t>
            </w:r>
            <w:r>
              <w:t xml:space="preserve">‘</w:t>
            </w:r>
            <w:r>
              <w:t xml:space="preserve">Overseas Citizen of India</w:t>
            </w:r>
            <w:r>
              <w:t xml:space="preserve">’</w:t>
            </w:r>
            <w:r>
              <w:t xml:space="preserve"> </w:t>
            </w:r>
            <w:r>
              <w:t xml:space="preserve">cardholder within the meaning of section 7(A) of the Citizenship Act, 1955</w:t>
            </w:r>
          </w:p>
        </w:tc>
      </w:tr>
      <w:tr>
        <w:tc>
          <w:tcPr/>
          <w:p>
            <w:pPr>
              <w:pStyle w:val="Compact"/>
              <w:jc w:val="center"/>
            </w:pPr>
            <w:r>
              <w:t xml:space="preserve">NRO Account</w:t>
            </w:r>
          </w:p>
        </w:tc>
        <w:tc>
          <w:tcPr/>
          <w:p>
            <w:pPr>
              <w:pStyle w:val="Compact"/>
              <w:jc w:val="center"/>
            </w:pPr>
            <w:r>
              <w:t xml:space="preserve">Non-resident ordinary account established in accordance with Wayne Enterprises) Regulations, 2016</w:t>
            </w:r>
          </w:p>
        </w:tc>
      </w:tr>
      <w:tr>
        <w:tc>
          <w:tcPr/>
          <w:p>
            <w:pPr>
              <w:pStyle w:val="Compact"/>
              <w:jc w:val="center"/>
            </w:pPr>
            <w:r>
              <w:t xml:space="preserve">NSDL</w:t>
            </w:r>
          </w:p>
        </w:tc>
        <w:tc>
          <w:tcPr/>
          <w:p>
            <w:pPr>
              <w:pStyle w:val="Compact"/>
              <w:jc w:val="center"/>
            </w:pPr>
            <w:r>
              <w:t xml:space="preserve">Stark Industries</w:t>
            </w:r>
          </w:p>
        </w:tc>
      </w:tr>
      <w:tr>
        <w:tc>
          <w:tcPr/>
          <w:p>
            <w:pPr>
              <w:pStyle w:val="Compact"/>
              <w:jc w:val="center"/>
            </w:pPr>
            <w:r>
              <w:t xml:space="preserve">NSE</w:t>
            </w:r>
          </w:p>
        </w:tc>
        <w:tc>
          <w:tcPr/>
          <w:p>
            <w:pPr>
              <w:pStyle w:val="Compact"/>
              <w:jc w:val="center"/>
            </w:pPr>
            <w:r>
              <w:t xml:space="preserve">Umbrella Ltd India Limited</w:t>
            </w:r>
          </w:p>
        </w:tc>
      </w:tr>
      <w:tr>
        <w:tc>
          <w:tcPr/>
          <w:p>
            <w:pPr>
              <w:pStyle w:val="Compact"/>
              <w:jc w:val="center"/>
            </w:pPr>
            <w:r>
              <w:t xml:space="preserve">OCB</w:t>
            </w:r>
          </w:p>
        </w:tc>
        <w:tc>
          <w:tcPr/>
          <w:p>
            <w:pPr>
              <w:pStyle w:val="Compact"/>
              <w:jc w:val="center"/>
            </w:pPr>
            <w:r>
              <w:t xml:space="preserve">A company, partnership, society or other corporate body owned directly or indirectly to the extent of at least 60% by NRIs including overseas trusts in which not less than 60% of the beneficial interest is irrevocably held by NRIs directly or indirectly and which was in existence on October 3, 2003, and immediately before such date had taken benefits under the general permission grantedto overseas corporate bodies under the FEMA. Overseas corporate bodies are not allowed to invest in the Offer</w:t>
            </w:r>
          </w:p>
        </w:tc>
      </w:tr>
    </w:tbl>
    <w:p/>
    <w:tbl>
      <w:tblPr>
        <w:tblStyle w:val="Table"/>
        <w:tblW w:type="pct" w:w="5000"/>
        <w:tblLook w:firstRow="0" w:lastRow="0" w:firstColumn="0" w:lastColumn="0" w:noHBand="0" w:noVBand="0" w:val="0000"/>
        <w:jc w:val="start"/>
      </w:tblPr>
      <w:tblGrid>
        <w:gridCol w:w="3960"/>
        <w:gridCol w:w="3960"/>
      </w:tblGrid>
      <w:tr>
        <w:tc>
          <w:tcPr/>
          <w:p>
            <w:pPr>
              <w:pStyle w:val="Compact"/>
              <w:jc w:val="center"/>
            </w:pPr>
            <w:r>
              <w:t xml:space="preserve">Term</w:t>
            </w:r>
          </w:p>
        </w:tc>
        <w:tc>
          <w:tcPr/>
          <w:p>
            <w:pPr>
              <w:pStyle w:val="Compact"/>
              <w:jc w:val="center"/>
            </w:pPr>
            <w:r>
              <w:t xml:space="preserve">Description</w:t>
            </w:r>
          </w:p>
        </w:tc>
      </w:tr>
      <w:tr>
        <w:tc>
          <w:tcPr/>
          <w:p>
            <w:pPr>
              <w:pStyle w:val="Compact"/>
              <w:jc w:val="center"/>
            </w:pPr>
            <w:r>
              <w:t xml:space="preserve">OCI</w:t>
            </w:r>
          </w:p>
        </w:tc>
        <w:tc>
          <w:tcPr/>
          <w:p>
            <w:pPr>
              <w:pStyle w:val="Compact"/>
              <w:jc w:val="center"/>
            </w:pPr>
            <w:r>
              <w:t xml:space="preserve">Overseas Citizen of India</w:t>
            </w:r>
          </w:p>
        </w:tc>
      </w:tr>
      <w:tr>
        <w:tc>
          <w:tcPr/>
          <w:p>
            <w:pPr>
              <w:pStyle w:val="Compact"/>
              <w:jc w:val="center"/>
            </w:pPr>
            <w:r>
              <w:t xml:space="preserve">P/E Ratio</w:t>
            </w:r>
          </w:p>
        </w:tc>
        <w:tc>
          <w:tcPr/>
          <w:p>
            <w:pPr>
              <w:pStyle w:val="Compact"/>
              <w:jc w:val="center"/>
            </w:pPr>
            <w:r>
              <w:t xml:space="preserve">Price/earnings ratio</w:t>
            </w:r>
          </w:p>
        </w:tc>
      </w:tr>
      <w:tr>
        <w:tc>
          <w:tcPr/>
          <w:p>
            <w:pPr>
              <w:pStyle w:val="Compact"/>
              <w:jc w:val="center"/>
            </w:pPr>
            <w:r>
              <w:t xml:space="preserve">PAN</w:t>
            </w:r>
          </w:p>
        </w:tc>
        <w:tc>
          <w:tcPr/>
          <w:p>
            <w:pPr>
              <w:pStyle w:val="Compact"/>
              <w:jc w:val="center"/>
            </w:pPr>
            <w:r>
              <w:t xml:space="preserve">Permanent account number allotted under the I.T. Act</w:t>
            </w:r>
          </w:p>
        </w:tc>
      </w:tr>
      <w:tr>
        <w:tc>
          <w:tcPr/>
          <w:p>
            <w:pPr>
              <w:pStyle w:val="Compact"/>
              <w:jc w:val="center"/>
            </w:pPr>
            <w:r>
              <w:t xml:space="preserve">PAT</w:t>
            </w:r>
          </w:p>
        </w:tc>
        <w:tc>
          <w:tcPr/>
          <w:p>
            <w:pPr>
              <w:pStyle w:val="Compact"/>
              <w:jc w:val="center"/>
            </w:pPr>
            <w:r>
              <w:t xml:space="preserve">Profit after tax</w:t>
            </w:r>
          </w:p>
        </w:tc>
      </w:tr>
      <w:tr>
        <w:tc>
          <w:tcPr/>
          <w:p>
            <w:pPr>
              <w:pStyle w:val="Compact"/>
              <w:jc w:val="center"/>
            </w:pPr>
            <w:r>
              <w:t xml:space="preserve">RBI</w:t>
            </w:r>
          </w:p>
        </w:tc>
        <w:tc>
          <w:tcPr/>
          <w:p>
            <w:pPr>
              <w:pStyle w:val="Compact"/>
              <w:jc w:val="center"/>
            </w:pPr>
            <w:r>
              <w:t xml:space="preserve">Acme Corp</w:t>
            </w:r>
          </w:p>
        </w:tc>
      </w:tr>
      <w:tr>
        <w:tc>
          <w:tcPr/>
          <w:p>
            <w:pPr>
              <w:pStyle w:val="Compact"/>
              <w:jc w:val="center"/>
            </w:pPr>
            <w:r>
              <w:t xml:space="preserve">Regulation S</w:t>
            </w:r>
          </w:p>
        </w:tc>
        <w:tc>
          <w:tcPr/>
          <w:p>
            <w:pPr>
              <w:pStyle w:val="Compact"/>
              <w:jc w:val="center"/>
            </w:pPr>
            <w:r>
              <w:t xml:space="preserve">Regulation S under the U.S. Securities Act</w:t>
            </w:r>
          </w:p>
        </w:tc>
      </w:tr>
      <w:tr>
        <w:tc>
          <w:tcPr/>
          <w:p>
            <w:pPr>
              <w:pStyle w:val="Compact"/>
              <w:jc w:val="center"/>
            </w:pPr>
            <w:r>
              <w:t xml:space="preserve">Rs. / Rupees/ ₹/ INR</w:t>
            </w:r>
          </w:p>
        </w:tc>
        <w:tc>
          <w:tcPr/>
          <w:p>
            <w:pPr>
              <w:pStyle w:val="Compact"/>
              <w:jc w:val="center"/>
            </w:pPr>
            <w:r>
              <w:t xml:space="preserve">Indian Rupees</w:t>
            </w:r>
          </w:p>
        </w:tc>
      </w:tr>
      <w:tr>
        <w:tc>
          <w:tcPr/>
          <w:p>
            <w:pPr>
              <w:pStyle w:val="Compact"/>
              <w:jc w:val="center"/>
            </w:pPr>
            <w:r>
              <w:t xml:space="preserve">RBI</w:t>
            </w:r>
          </w:p>
        </w:tc>
        <w:tc>
          <w:tcPr/>
          <w:p>
            <w:pPr>
              <w:pStyle w:val="Compact"/>
              <w:jc w:val="center"/>
            </w:pPr>
            <w:r>
              <w:t xml:space="preserve">Acme Corp</w:t>
            </w:r>
          </w:p>
        </w:tc>
      </w:tr>
      <w:tr>
        <w:tc>
          <w:tcPr/>
          <w:p>
            <w:pPr>
              <w:pStyle w:val="Compact"/>
              <w:jc w:val="center"/>
            </w:pPr>
            <w:r>
              <w:t xml:space="preserve">RTGS</w:t>
            </w:r>
          </w:p>
        </w:tc>
        <w:tc>
          <w:tcPr/>
          <w:p>
            <w:pPr>
              <w:pStyle w:val="Compact"/>
              <w:jc w:val="center"/>
            </w:pPr>
            <w:r>
              <w:t xml:space="preserve">Real time gross settlement</w:t>
            </w:r>
          </w:p>
        </w:tc>
      </w:tr>
      <w:tr>
        <w:tc>
          <w:tcPr/>
          <w:p>
            <w:pPr>
              <w:pStyle w:val="Compact"/>
              <w:jc w:val="center"/>
            </w:pPr>
            <w:r>
              <w:t xml:space="preserve">SCRA</w:t>
            </w:r>
          </w:p>
        </w:tc>
        <w:tc>
          <w:tcPr/>
          <w:p>
            <w:pPr>
              <w:pStyle w:val="Compact"/>
              <w:jc w:val="center"/>
            </w:pPr>
            <w:r>
              <w:t xml:space="preserve">Securities Contracts (Regulation) Act, 1956</w:t>
            </w:r>
          </w:p>
        </w:tc>
      </w:tr>
      <w:tr>
        <w:tc>
          <w:tcPr/>
          <w:p>
            <w:pPr>
              <w:pStyle w:val="Compact"/>
              <w:jc w:val="center"/>
            </w:pPr>
            <w:r>
              <w:t xml:space="preserve">SCRR</w:t>
            </w:r>
          </w:p>
        </w:tc>
        <w:tc>
          <w:tcPr/>
          <w:p>
            <w:pPr>
              <w:pStyle w:val="Compact"/>
              <w:jc w:val="center"/>
            </w:pPr>
            <w:r>
              <w:t xml:space="preserve">Securities Contracts (Regulation) Rules, 1957</w:t>
            </w:r>
          </w:p>
        </w:tc>
      </w:tr>
      <w:tr>
        <w:tc>
          <w:tcPr/>
          <w:p>
            <w:pPr>
              <w:pStyle w:val="Compact"/>
              <w:jc w:val="center"/>
            </w:pPr>
            <w:r>
              <w:t xml:space="preserve">SEBI</w:t>
            </w:r>
          </w:p>
        </w:tc>
        <w:tc>
          <w:tcPr/>
          <w:p>
            <w:pPr>
              <w:pStyle w:val="Compact"/>
              <w:jc w:val="center"/>
            </w:pPr>
            <w:r>
              <w:t xml:space="preserve">Globex Inc constituted under the SEBI Act</w:t>
            </w:r>
          </w:p>
        </w:tc>
      </w:tr>
      <w:tr>
        <w:tc>
          <w:tcPr/>
          <w:p>
            <w:pPr>
              <w:pStyle w:val="Compact"/>
              <w:jc w:val="center"/>
            </w:pPr>
            <w:r>
              <w:t xml:space="preserve">SEBI Act</w:t>
            </w:r>
          </w:p>
        </w:tc>
        <w:tc>
          <w:tcPr/>
          <w:p>
            <w:pPr>
              <w:pStyle w:val="Compact"/>
              <w:jc w:val="center"/>
            </w:pPr>
            <w:r>
              <w:t xml:space="preserve">Initech LLC, 1992</w:t>
            </w:r>
          </w:p>
        </w:tc>
      </w:tr>
      <w:tr>
        <w:tc>
          <w:tcPr/>
          <w:p>
            <w:pPr>
              <w:pStyle w:val="Compact"/>
              <w:jc w:val="center"/>
            </w:pPr>
            <w:r>
              <w:t xml:space="preserve">SEBI AIF Regulations</w:t>
            </w:r>
          </w:p>
        </w:tc>
        <w:tc>
          <w:tcPr/>
          <w:p>
            <w:pPr>
              <w:pStyle w:val="Compact"/>
              <w:jc w:val="center"/>
            </w:pPr>
            <w:r>
              <w:t xml:space="preserve">Securities and Exchange Board of India (Alternative Investment Funds) Regulations, 2012</w:t>
            </w:r>
          </w:p>
        </w:tc>
      </w:tr>
      <w:tr>
        <w:tc>
          <w:tcPr/>
          <w:p>
            <w:pPr>
              <w:pStyle w:val="Compact"/>
              <w:jc w:val="center"/>
            </w:pPr>
            <w:r>
              <w:t xml:space="preserve">SEBI BTI Regulations</w:t>
            </w:r>
          </w:p>
        </w:tc>
        <w:tc>
          <w:tcPr/>
          <w:p>
            <w:pPr>
              <w:pStyle w:val="Compact"/>
              <w:jc w:val="center"/>
            </w:pPr>
            <w:r>
              <w:t xml:space="preserve">Securities and Exchange Board of India (Bankers to an Issue) Regulations, 1994</w:t>
            </w:r>
          </w:p>
        </w:tc>
      </w:tr>
      <w:tr>
        <w:tc>
          <w:tcPr/>
          <w:p>
            <w:pPr>
              <w:pStyle w:val="Compact"/>
              <w:jc w:val="center"/>
            </w:pPr>
            <w:r>
              <w:t xml:space="preserve">SEBI FPI Regulations</w:t>
            </w:r>
          </w:p>
        </w:tc>
        <w:tc>
          <w:tcPr/>
          <w:p>
            <w:pPr>
              <w:pStyle w:val="Compact"/>
              <w:jc w:val="center"/>
            </w:pPr>
            <w:r>
              <w:t xml:space="preserve">Globex Inc (Foreign Portfolio Investors) Regulations, 2019</w:t>
            </w:r>
          </w:p>
        </w:tc>
      </w:tr>
      <w:tr>
        <w:tc>
          <w:tcPr/>
          <w:p>
            <w:pPr>
              <w:pStyle w:val="Compact"/>
              <w:jc w:val="center"/>
            </w:pPr>
            <w:r>
              <w:t xml:space="preserve">SEBI FVCI Regulations</w:t>
            </w:r>
          </w:p>
        </w:tc>
        <w:tc>
          <w:tcPr/>
          <w:p>
            <w:pPr>
              <w:pStyle w:val="Compact"/>
              <w:jc w:val="center"/>
            </w:pPr>
            <w:r>
              <w:t xml:space="preserve">Securities and Exchange Board of India (Foreign Venture Capital Investors) Regulations, 2000</w:t>
            </w:r>
          </w:p>
        </w:tc>
      </w:tr>
      <w:tr>
        <w:tc>
          <w:tcPr/>
          <w:p>
            <w:pPr>
              <w:pStyle w:val="Compact"/>
              <w:jc w:val="center"/>
            </w:pPr>
            <w:r>
              <w:t xml:space="preserve">SEBI ICDR Master Circular</w:t>
            </w:r>
          </w:p>
        </w:tc>
        <w:tc>
          <w:tcPr/>
          <w:p>
            <w:pPr>
              <w:pStyle w:val="Compact"/>
              <w:jc w:val="center"/>
            </w:pPr>
            <w:r>
              <w:t xml:space="preserve">SEBI ICDR Master Circular - SEBI master circular bearing reference SEBI/HO/CFD/PoD-1/P/CIR/2024/0154 dated November 11, 2024, as amended</w:t>
            </w:r>
          </w:p>
        </w:tc>
      </w:tr>
      <w:tr>
        <w:tc>
          <w:tcPr/>
          <w:p>
            <w:pPr>
              <w:pStyle w:val="Compact"/>
              <w:jc w:val="center"/>
            </w:pPr>
            <w:r>
              <w:t xml:space="preserve">SEBI ICDR Regulations</w:t>
            </w:r>
          </w:p>
        </w:tc>
        <w:tc>
          <w:tcPr/>
          <w:p>
            <w:pPr>
              <w:pStyle w:val="Compact"/>
              <w:jc w:val="center"/>
            </w:pPr>
            <w:r>
              <w:t xml:space="preserve">Globex Inc (Issue of Capital and Disclosure Requirements) Regulations, 2018</w:t>
            </w:r>
          </w:p>
        </w:tc>
      </w:tr>
      <w:tr>
        <w:tc>
          <w:tcPr/>
          <w:p>
            <w:pPr>
              <w:pStyle w:val="Compact"/>
              <w:jc w:val="center"/>
            </w:pPr>
            <w:r>
              <w:t xml:space="preserve">SEBI Listing Regulations</w:t>
            </w:r>
          </w:p>
        </w:tc>
        <w:tc>
          <w:tcPr/>
          <w:p>
            <w:pPr>
              <w:pStyle w:val="Compact"/>
              <w:jc w:val="center"/>
            </w:pPr>
            <w:r>
              <w:t xml:space="preserve">Globex Inc (Listing Obligations and Disclosure Requirements) Regulations, 2015</w:t>
            </w:r>
          </w:p>
        </w:tc>
      </w:tr>
      <w:tr>
        <w:tc>
          <w:tcPr/>
          <w:p>
            <w:pPr>
              <w:pStyle w:val="Compact"/>
              <w:jc w:val="center"/>
            </w:pPr>
            <w:r>
              <w:t xml:space="preserve">SEBI Mutual Funds Regulations</w:t>
            </w:r>
          </w:p>
        </w:tc>
        <w:tc>
          <w:tcPr/>
          <w:p>
            <w:pPr>
              <w:pStyle w:val="Compact"/>
              <w:jc w:val="center"/>
            </w:pPr>
            <w:r>
              <w:t xml:space="preserve">Globex Inc (Mutual Funds) Regulations, 1996</w:t>
            </w:r>
          </w:p>
        </w:tc>
      </w:tr>
      <w:tr>
        <w:tc>
          <w:tcPr/>
          <w:p>
            <w:pPr>
              <w:pStyle w:val="Compact"/>
              <w:jc w:val="center"/>
            </w:pPr>
            <w:r>
              <w:t xml:space="preserve">SEBI RTA Master Circular</w:t>
            </w:r>
          </w:p>
        </w:tc>
        <w:tc>
          <w:tcPr/>
          <w:p>
            <w:pPr>
              <w:pStyle w:val="Compact"/>
              <w:jc w:val="center"/>
            </w:pPr>
            <w:r>
              <w:t xml:space="preserve">SEBI master circular bearing number SEBI/HO/MIRSD/MIRSD-PoD/P/CIR/2025/91 dated June 23, 2025</w:t>
            </w:r>
          </w:p>
        </w:tc>
      </w:tr>
      <w:tr>
        <w:tc>
          <w:tcPr/>
          <w:p>
            <w:pPr>
              <w:pStyle w:val="Compact"/>
              <w:jc w:val="center"/>
            </w:pPr>
            <w:r>
              <w:t xml:space="preserve">SEBI SBEB &amp; SE Regulations</w:t>
            </w:r>
          </w:p>
        </w:tc>
        <w:tc>
          <w:tcPr/>
          <w:p>
            <w:pPr>
              <w:pStyle w:val="Compact"/>
              <w:jc w:val="center"/>
            </w:pPr>
            <w:r>
              <w:t xml:space="preserve">Securities and Exchange Board of India (Share Based Employee Benefits and Sweat Equity) Regulations, 2021</w:t>
            </w:r>
          </w:p>
        </w:tc>
      </w:tr>
      <w:tr>
        <w:tc>
          <w:tcPr/>
          <w:p>
            <w:pPr>
              <w:pStyle w:val="Compact"/>
              <w:jc w:val="center"/>
            </w:pPr>
            <w:r>
              <w:t xml:space="preserve">SEBI Takeover Regulations</w:t>
            </w:r>
          </w:p>
        </w:tc>
        <w:tc>
          <w:tcPr/>
          <w:p>
            <w:pPr>
              <w:pStyle w:val="Compact"/>
              <w:jc w:val="center"/>
            </w:pPr>
            <w:r>
              <w:t xml:space="preserve">Globex Inc (Substantial Acquisition of Shares and Takeovers) Regulations, 2011</w:t>
            </w:r>
          </w:p>
        </w:tc>
      </w:tr>
      <w:tr>
        <w:tc>
          <w:tcPr/>
          <w:p>
            <w:pPr>
              <w:pStyle w:val="Compact"/>
              <w:jc w:val="center"/>
            </w:pPr>
            <w:r>
              <w:t xml:space="preserve">SEBI VCF Regulations</w:t>
            </w:r>
          </w:p>
        </w:tc>
        <w:tc>
          <w:tcPr/>
          <w:p>
            <w:pPr>
              <w:pStyle w:val="Compact"/>
              <w:jc w:val="center"/>
            </w:pPr>
            <w:r>
              <w:t xml:space="preserve">Securities and Exchange Board of India (Venture Capital Fund) Regulations, 1996 as repealed pursuant to SEBI AIF Regulations</w:t>
            </w:r>
          </w:p>
        </w:tc>
      </w:tr>
      <w:tr>
        <w:tc>
          <w:tcPr/>
          <w:p>
            <w:pPr>
              <w:pStyle w:val="Compact"/>
              <w:jc w:val="center"/>
            </w:pPr>
            <w:r>
              <w:t xml:space="preserve">State Government</w:t>
            </w:r>
          </w:p>
        </w:tc>
        <w:tc>
          <w:tcPr/>
          <w:p>
            <w:pPr>
              <w:pStyle w:val="Compact"/>
              <w:jc w:val="center"/>
            </w:pPr>
            <w:r>
              <w:t xml:space="preserve">Government of a state of India.</w:t>
            </w:r>
          </w:p>
        </w:tc>
      </w:tr>
      <w:tr>
        <w:tc>
          <w:tcPr/>
          <w:p>
            <w:pPr>
              <w:pStyle w:val="Compact"/>
              <w:jc w:val="center"/>
            </w:pPr>
            <w:r>
              <w:t xml:space="preserve">Acme Corp</w:t>
            </w:r>
          </w:p>
        </w:tc>
        <w:tc>
          <w:tcPr/>
          <w:p>
            <w:pPr>
              <w:pStyle w:val="Compact"/>
              <w:jc w:val="center"/>
            </w:pPr>
            <w:r>
              <w:t xml:space="preserve">Wonka Ltd of 1933, as amended</w:t>
            </w:r>
          </w:p>
        </w:tc>
      </w:tr>
      <w:tr>
        <w:tc>
          <w:tcPr/>
          <w:p>
            <w:pPr>
              <w:pStyle w:val="Compact"/>
              <w:jc w:val="center"/>
            </w:pPr>
            <w:r>
              <w:t xml:space="preserve">US GAAP</w:t>
            </w:r>
          </w:p>
        </w:tc>
        <w:tc>
          <w:tcPr/>
          <w:p>
            <w:pPr>
              <w:pStyle w:val="Compact"/>
              <w:jc w:val="center"/>
            </w:pPr>
            <w:r>
              <w:t xml:space="preserve">Generally Accepted Accounting Principles in the United States of America.</w:t>
            </w:r>
          </w:p>
        </w:tc>
      </w:tr>
      <w:tr>
        <w:tc>
          <w:tcPr/>
          <w:p>
            <w:pPr>
              <w:pStyle w:val="Compact"/>
              <w:jc w:val="center"/>
            </w:pPr>
            <w:r>
              <w:t xml:space="preserve">USA/ United States/ U.S. / US</w:t>
            </w:r>
          </w:p>
        </w:tc>
        <w:tc>
          <w:tcPr/>
          <w:p>
            <w:pPr>
              <w:pStyle w:val="Compact"/>
              <w:jc w:val="center"/>
            </w:pPr>
            <w:r>
              <w:t xml:space="preserve">The United States of America</w:t>
            </w:r>
          </w:p>
        </w:tc>
      </w:tr>
      <w:tr>
        <w:tc>
          <w:tcPr/>
          <w:p>
            <w:pPr>
              <w:pStyle w:val="Compact"/>
              <w:jc w:val="center"/>
            </w:pPr>
            <w:r>
              <w:t xml:space="preserve">USD</w:t>
            </w:r>
          </w:p>
        </w:tc>
        <w:tc>
          <w:tcPr/>
          <w:p>
            <w:pPr>
              <w:pStyle w:val="Compact"/>
              <w:jc w:val="center"/>
            </w:pPr>
            <w:r>
              <w:t xml:space="preserve">United States Dollars</w:t>
            </w:r>
          </w:p>
        </w:tc>
      </w:tr>
      <w:tr>
        <w:tc>
          <w:tcPr/>
          <w:p>
            <w:pPr>
              <w:pStyle w:val="Compact"/>
              <w:jc w:val="center"/>
            </w:pPr>
            <w:r>
              <w:t xml:space="preserve">VCFs</w:t>
            </w:r>
          </w:p>
        </w:tc>
        <w:tc>
          <w:tcPr/>
          <w:p>
            <w:pPr>
              <w:pStyle w:val="Compact"/>
              <w:jc w:val="center"/>
            </w:pPr>
            <w:r>
              <w:t xml:space="preserve">Venture capital funds as defined in, and registered with SEBI under, the SEBI VCF Regulations (now repealed) or the SEBI AIF Regulations, as the case may be</w:t>
            </w:r>
          </w:p>
        </w:tc>
      </w:tr>
    </w:tbl>
    <w:p>
      <w:pPr>
        <w:pStyle w:val="BodyText"/>
      </w:pPr>
      <w:r>
        <w:t xml:space="preserve">Technical and Industry Related Terms</w:t>
      </w:r>
    </w:p>
    <w:tbl>
      <w:tblPr>
        <w:tblStyle w:val="Table"/>
        <w:tblW w:type="pct" w:w="5000"/>
        <w:tblLook w:firstRow="0" w:lastRow="0" w:firstColumn="0" w:lastColumn="0" w:noHBand="0" w:noVBand="0" w:val="0000"/>
        <w:jc w:val="start"/>
      </w:tblPr>
      <w:tblGrid>
        <w:gridCol w:w="3960"/>
        <w:gridCol w:w="3960"/>
      </w:tblGrid>
      <w:tr>
        <w:tc>
          <w:tcPr/>
          <w:p>
            <w:pPr>
              <w:pStyle w:val="Compact"/>
              <w:jc w:val="center"/>
            </w:pPr>
            <w:r>
              <w:t xml:space="preserve">Term</w:t>
            </w:r>
          </w:p>
        </w:tc>
        <w:tc>
          <w:tcPr/>
          <w:p>
            <w:pPr>
              <w:pStyle w:val="Compact"/>
              <w:jc w:val="center"/>
            </w:pPr>
            <w:r>
              <w:t xml:space="preserve">Abbreviations</w:t>
            </w:r>
          </w:p>
        </w:tc>
      </w:tr>
      <w:tr>
        <w:tc>
          <w:tcPr/>
          <w:p>
            <w:pPr>
              <w:pStyle w:val="Compact"/>
              <w:jc w:val="center"/>
            </w:pPr>
            <w:r>
              <w:t xml:space="preserve">2W</w:t>
            </w:r>
          </w:p>
        </w:tc>
        <w:tc>
          <w:tcPr/>
          <w:p>
            <w:pPr>
              <w:pStyle w:val="Compact"/>
              <w:jc w:val="center"/>
            </w:pPr>
            <w:r>
              <w:t xml:space="preserve">Two-Wheelers</w:t>
            </w:r>
          </w:p>
        </w:tc>
      </w:tr>
      <w:tr>
        <w:tc>
          <w:tcPr/>
          <w:p>
            <w:pPr>
              <w:pStyle w:val="Compact"/>
              <w:jc w:val="center"/>
            </w:pPr>
            <w:r>
              <w:t xml:space="preserve">3W</w:t>
            </w:r>
          </w:p>
        </w:tc>
        <w:tc>
          <w:tcPr/>
          <w:p>
            <w:pPr>
              <w:pStyle w:val="Compact"/>
              <w:jc w:val="center"/>
            </w:pPr>
            <w:r>
              <w:t xml:space="preserve">Three Wheelers</w:t>
            </w:r>
          </w:p>
        </w:tc>
      </w:tr>
      <w:tr>
        <w:tc>
          <w:tcPr/>
          <w:p>
            <w:pPr>
              <w:pStyle w:val="Compact"/>
              <w:jc w:val="center"/>
            </w:pPr>
            <w:r>
              <w:t xml:space="preserve">4W</w:t>
            </w:r>
          </w:p>
        </w:tc>
        <w:tc>
          <w:tcPr/>
          <w:p>
            <w:pPr>
              <w:pStyle w:val="Compact"/>
              <w:jc w:val="center"/>
            </w:pPr>
            <w:r>
              <w:t xml:space="preserve">Four Wheelers</w:t>
            </w:r>
          </w:p>
        </w:tc>
      </w:tr>
      <w:tr>
        <w:tc>
          <w:tcPr/>
          <w:p>
            <w:pPr>
              <w:pStyle w:val="Compact"/>
              <w:jc w:val="center"/>
            </w:pPr>
            <w:r>
              <w:t xml:space="preserve">AAS</w:t>
            </w:r>
          </w:p>
        </w:tc>
        <w:tc>
          <w:tcPr/>
          <w:p>
            <w:pPr>
              <w:pStyle w:val="Compact"/>
              <w:jc w:val="center"/>
            </w:pPr>
            <w:r>
              <w:t xml:space="preserve">Advance Authorization Scheme</w:t>
            </w:r>
          </w:p>
        </w:tc>
      </w:tr>
      <w:tr>
        <w:tc>
          <w:tcPr/>
          <w:p>
            <w:pPr>
              <w:pStyle w:val="Compact"/>
              <w:jc w:val="center"/>
            </w:pPr>
            <w:r>
              <w:t xml:space="preserve">ACC</w:t>
            </w:r>
          </w:p>
        </w:tc>
        <w:tc>
          <w:tcPr/>
          <w:p>
            <w:pPr>
              <w:pStyle w:val="Compact"/>
              <w:jc w:val="center"/>
            </w:pPr>
            <w:r>
              <w:t xml:space="preserve">Advanced Chemistry Cell</w:t>
            </w:r>
          </w:p>
        </w:tc>
      </w:tr>
      <w:tr>
        <w:tc>
          <w:tcPr/>
          <w:p>
            <w:pPr>
              <w:pStyle w:val="Compact"/>
              <w:jc w:val="center"/>
            </w:pPr>
            <w:r>
              <w:t xml:space="preserve">ADAS</w:t>
            </w:r>
          </w:p>
        </w:tc>
        <w:tc>
          <w:tcPr/>
          <w:p>
            <w:pPr>
              <w:pStyle w:val="Compact"/>
              <w:jc w:val="center"/>
            </w:pPr>
            <w:r>
              <w:t xml:space="preserve">Advanced driver-assistance systems</w:t>
            </w:r>
          </w:p>
        </w:tc>
      </w:tr>
      <w:tr>
        <w:tc>
          <w:tcPr/>
          <w:p>
            <w:pPr>
              <w:pStyle w:val="Compact"/>
              <w:jc w:val="center"/>
            </w:pPr>
            <w:r>
              <w:t xml:space="preserve">AMRUT</w:t>
            </w:r>
          </w:p>
        </w:tc>
        <w:tc>
          <w:tcPr/>
          <w:p>
            <w:pPr>
              <w:pStyle w:val="Compact"/>
              <w:jc w:val="center"/>
            </w:pPr>
            <w:r>
              <w:t xml:space="preserve">Atal Mission for Rejuvenation and Urban Transformation</w:t>
            </w:r>
          </w:p>
        </w:tc>
      </w:tr>
      <w:tr>
        <w:tc>
          <w:tcPr/>
          <w:p>
            <w:pPr>
              <w:pStyle w:val="Compact"/>
              <w:jc w:val="center"/>
            </w:pPr>
            <w:r>
              <w:t xml:space="preserve">BCD</w:t>
            </w:r>
          </w:p>
        </w:tc>
        <w:tc>
          <w:tcPr/>
          <w:p>
            <w:pPr>
              <w:pStyle w:val="Compact"/>
              <w:jc w:val="center"/>
            </w:pPr>
            <w:r>
              <w:t xml:space="preserve">Basic Custom Duty</w:t>
            </w:r>
          </w:p>
        </w:tc>
      </w:tr>
      <w:tr>
        <w:tc>
          <w:tcPr/>
          <w:p>
            <w:pPr>
              <w:pStyle w:val="Compact"/>
              <w:jc w:val="center"/>
            </w:pPr>
            <w:r>
              <w:t xml:space="preserve">BESS</w:t>
            </w:r>
          </w:p>
        </w:tc>
        <w:tc>
          <w:tcPr/>
          <w:p>
            <w:pPr>
              <w:pStyle w:val="Compact"/>
              <w:jc w:val="center"/>
            </w:pPr>
            <w:r>
              <w:t xml:space="preserve">Battery Energy Storage System</w:t>
            </w:r>
          </w:p>
        </w:tc>
      </w:tr>
      <w:tr>
        <w:tc>
          <w:tcPr/>
          <w:p>
            <w:pPr>
              <w:pStyle w:val="Compact"/>
              <w:jc w:val="center"/>
            </w:pPr>
            <w:r>
              <w:t xml:space="preserve">BIS</w:t>
            </w:r>
          </w:p>
        </w:tc>
        <w:tc>
          <w:tcPr/>
          <w:p>
            <w:pPr>
              <w:pStyle w:val="Compact"/>
              <w:jc w:val="center"/>
            </w:pPr>
            <w:r>
              <w:t xml:space="preserve">Bureau of Indian Standards</w:t>
            </w:r>
          </w:p>
        </w:tc>
      </w:tr>
      <w:tr>
        <w:tc>
          <w:tcPr/>
          <w:p>
            <w:pPr>
              <w:pStyle w:val="Compact"/>
              <w:jc w:val="center"/>
            </w:pPr>
            <w:r>
              <w:t xml:space="preserve">BLDC</w:t>
            </w:r>
          </w:p>
        </w:tc>
        <w:tc>
          <w:tcPr/>
          <w:p>
            <w:pPr>
              <w:pStyle w:val="Compact"/>
              <w:jc w:val="center"/>
            </w:pPr>
            <w:r>
              <w:t xml:space="preserve">Brushless Direct Current</w:t>
            </w:r>
          </w:p>
        </w:tc>
      </w:tr>
      <w:tr>
        <w:tc>
          <w:tcPr/>
          <w:p>
            <w:pPr>
              <w:pStyle w:val="Compact"/>
              <w:jc w:val="center"/>
            </w:pPr>
            <w:r>
              <w:t xml:space="preserve">BTA</w:t>
            </w:r>
          </w:p>
        </w:tc>
        <w:tc>
          <w:tcPr/>
          <w:p>
            <w:pPr>
              <w:pStyle w:val="Compact"/>
              <w:jc w:val="center"/>
            </w:pPr>
            <w:r>
              <w:t xml:space="preserve">Bilateral trade agreement</w:t>
            </w:r>
          </w:p>
        </w:tc>
      </w:tr>
      <w:tr>
        <w:tc>
          <w:tcPr/>
          <w:p>
            <w:pPr>
              <w:pStyle w:val="Compact"/>
              <w:jc w:val="center"/>
            </w:pPr>
            <w:r>
              <w:t xml:space="preserve">BU</w:t>
            </w:r>
          </w:p>
        </w:tc>
        <w:tc>
          <w:tcPr/>
          <w:p>
            <w:pPr>
              <w:pStyle w:val="Compact"/>
              <w:jc w:val="center"/>
            </w:pPr>
            <w:r>
              <w:t xml:space="preserve">Billion unit</w:t>
            </w:r>
          </w:p>
        </w:tc>
      </w:tr>
      <w:tr>
        <w:tc>
          <w:tcPr/>
          <w:p>
            <w:pPr>
              <w:pStyle w:val="Compact"/>
              <w:jc w:val="center"/>
            </w:pPr>
            <w:r>
              <w:t xml:space="preserve">CEA</w:t>
            </w:r>
          </w:p>
        </w:tc>
        <w:tc>
          <w:tcPr/>
          <w:p>
            <w:pPr>
              <w:pStyle w:val="Compact"/>
              <w:jc w:val="center"/>
            </w:pPr>
            <w:r>
              <w:t xml:space="preserve">Central Electricity Authority</w:t>
            </w:r>
          </w:p>
        </w:tc>
      </w:tr>
      <w:tr>
        <w:tc>
          <w:tcPr/>
          <w:p>
            <w:pPr>
              <w:pStyle w:val="Compact"/>
              <w:jc w:val="center"/>
            </w:pPr>
            <w:r>
              <w:t xml:space="preserve">CERC</w:t>
            </w:r>
          </w:p>
        </w:tc>
        <w:tc>
          <w:tcPr/>
          <w:p>
            <w:pPr>
              <w:pStyle w:val="Compact"/>
              <w:jc w:val="center"/>
            </w:pPr>
            <w:r>
              <w:t xml:space="preserve">Vandelay Industries</w:t>
            </w:r>
          </w:p>
        </w:tc>
      </w:tr>
      <w:tr>
        <w:tc>
          <w:tcPr/>
          <w:p>
            <w:pPr>
              <w:pStyle w:val="Compact"/>
              <w:jc w:val="center"/>
            </w:pPr>
            <w:r>
              <w:t xml:space="preserve">CKM</w:t>
            </w:r>
          </w:p>
        </w:tc>
        <w:tc>
          <w:tcPr/>
          <w:p>
            <w:pPr>
              <w:pStyle w:val="Compact"/>
              <w:jc w:val="center"/>
            </w:pPr>
            <w:r>
              <w:t xml:space="preserve">Circuit Kilometers</w:t>
            </w:r>
          </w:p>
        </w:tc>
      </w:tr>
      <w:tr>
        <w:tc>
          <w:tcPr/>
          <w:p>
            <w:pPr>
              <w:pStyle w:val="Compact"/>
              <w:jc w:val="center"/>
            </w:pPr>
            <w:r>
              <w:t xml:space="preserve">CTC</w:t>
            </w:r>
          </w:p>
        </w:tc>
        <w:tc>
          <w:tcPr/>
          <w:p>
            <w:pPr>
              <w:pStyle w:val="Compact"/>
              <w:jc w:val="center"/>
            </w:pPr>
            <w:r>
              <w:t xml:space="preserve">Soylent Corp</w:t>
            </w:r>
          </w:p>
        </w:tc>
      </w:tr>
      <w:tr>
        <w:tc>
          <w:tcPr/>
          <w:p>
            <w:pPr>
              <w:pStyle w:val="Compact"/>
              <w:jc w:val="center"/>
            </w:pPr>
            <w:r>
              <w:t xml:space="preserve">CUF</w:t>
            </w:r>
          </w:p>
        </w:tc>
        <w:tc>
          <w:tcPr/>
          <w:p>
            <w:pPr>
              <w:pStyle w:val="Compact"/>
              <w:jc w:val="center"/>
            </w:pPr>
            <w:r>
              <w:t xml:space="preserve">Capacity Utilization Factor</w:t>
            </w:r>
          </w:p>
        </w:tc>
      </w:tr>
      <w:tr>
        <w:tc>
          <w:tcPr/>
          <w:p>
            <w:pPr>
              <w:pStyle w:val="Compact"/>
              <w:jc w:val="center"/>
            </w:pPr>
            <w:r>
              <w:t xml:space="preserve">DDUGJY</w:t>
            </w:r>
          </w:p>
        </w:tc>
        <w:tc>
          <w:tcPr/>
          <w:p>
            <w:pPr>
              <w:pStyle w:val="Compact"/>
              <w:jc w:val="center"/>
            </w:pPr>
            <w:r>
              <w:t xml:space="preserve">Deen Dayal Upadhyaya Chris Wilson</w:t>
            </w:r>
          </w:p>
        </w:tc>
      </w:tr>
      <w:tr>
        <w:tc>
          <w:tcPr/>
          <w:p>
            <w:pPr>
              <w:pStyle w:val="Compact"/>
              <w:jc w:val="center"/>
            </w:pPr>
            <w:r>
              <w:t xml:space="preserve">DFI</w:t>
            </w:r>
          </w:p>
        </w:tc>
        <w:tc>
          <w:tcPr/>
          <w:p>
            <w:pPr>
              <w:pStyle w:val="Compact"/>
              <w:jc w:val="center"/>
            </w:pPr>
            <w:r>
              <w:t xml:space="preserve">Hooli Inc</w:t>
            </w:r>
          </w:p>
        </w:tc>
      </w:tr>
      <w:tr>
        <w:tc>
          <w:tcPr/>
          <w:p>
            <w:pPr>
              <w:pStyle w:val="Compact"/>
              <w:jc w:val="center"/>
            </w:pPr>
            <w:r>
              <w:t xml:space="preserve">DFIA</w:t>
            </w:r>
          </w:p>
        </w:tc>
        <w:tc>
          <w:tcPr/>
          <w:p>
            <w:pPr>
              <w:pStyle w:val="Compact"/>
              <w:jc w:val="center"/>
            </w:pPr>
            <w:r>
              <w:t xml:space="preserve">Wayne Enterprises</w:t>
            </w:r>
          </w:p>
        </w:tc>
      </w:tr>
      <w:tr>
        <w:tc>
          <w:tcPr/>
          <w:p>
            <w:pPr>
              <w:pStyle w:val="Compact"/>
              <w:jc w:val="center"/>
            </w:pPr>
            <w:r>
              <w:t xml:space="preserve">DG</w:t>
            </w:r>
          </w:p>
        </w:tc>
        <w:tc>
          <w:tcPr/>
          <w:p>
            <w:pPr>
              <w:pStyle w:val="Compact"/>
              <w:jc w:val="center"/>
            </w:pPr>
            <w:r>
              <w:t xml:space="preserve">Stark Industries</w:t>
            </w:r>
          </w:p>
        </w:tc>
      </w:tr>
      <w:tr>
        <w:tc>
          <w:tcPr/>
          <w:p>
            <w:pPr>
              <w:pStyle w:val="Compact"/>
              <w:jc w:val="center"/>
            </w:pPr>
            <w:r>
              <w:t xml:space="preserve">EBITDA</w:t>
            </w:r>
          </w:p>
        </w:tc>
        <w:tc>
          <w:tcPr/>
          <w:p>
            <w:pPr>
              <w:pStyle w:val="Compact"/>
              <w:jc w:val="center"/>
            </w:pPr>
            <w:r>
              <w:t xml:space="preserve">Earnings Before Interest, Taxes, Depreciation, and Amortization.</w:t>
            </w:r>
          </w:p>
        </w:tc>
      </w:tr>
    </w:tbl>
    <w:p/>
    <w:tbl>
      <w:tblPr>
        <w:tblStyle w:val="Table"/>
        <w:tblW w:type="pct" w:w="5000"/>
        <w:tblLook w:firstRow="0" w:lastRow="0" w:firstColumn="0" w:lastColumn="0" w:noHBand="0" w:noVBand="0" w:val="0000"/>
        <w:jc w:val="start"/>
      </w:tblPr>
      <w:tblGrid>
        <w:gridCol w:w="3960"/>
        <w:gridCol w:w="3960"/>
      </w:tblGrid>
      <w:tr>
        <w:tc>
          <w:tcPr/>
          <w:p>
            <w:pPr>
              <w:pStyle w:val="Compact"/>
              <w:jc w:val="center"/>
            </w:pPr>
            <w:r>
              <w:t xml:space="preserve">Term</w:t>
            </w:r>
          </w:p>
        </w:tc>
        <w:tc>
          <w:tcPr/>
          <w:p>
            <w:pPr>
              <w:pStyle w:val="Compact"/>
              <w:jc w:val="center"/>
            </w:pPr>
            <w:r>
              <w:t xml:space="preserve">Abbreviations</w:t>
            </w:r>
          </w:p>
        </w:tc>
      </w:tr>
      <w:tr>
        <w:tc>
          <w:tcPr/>
          <w:p>
            <w:pPr>
              <w:pStyle w:val="Compact"/>
              <w:jc w:val="center"/>
            </w:pPr>
            <w:r>
              <w:t xml:space="preserve">EMIS</w:t>
            </w:r>
          </w:p>
        </w:tc>
        <w:tc>
          <w:tcPr/>
          <w:p>
            <w:pPr>
              <w:pStyle w:val="Compact"/>
              <w:jc w:val="center"/>
            </w:pPr>
            <w:r>
              <w:t xml:space="preserve">Education Management Information System</w:t>
            </w:r>
          </w:p>
        </w:tc>
      </w:tr>
      <w:tr>
        <w:tc>
          <w:tcPr/>
          <w:p>
            <w:pPr>
              <w:pStyle w:val="Compact"/>
              <w:jc w:val="center"/>
            </w:pPr>
            <w:r>
              <w:t xml:space="preserve">EPCG</w:t>
            </w:r>
          </w:p>
        </w:tc>
        <w:tc>
          <w:tcPr/>
          <w:p>
            <w:pPr>
              <w:pStyle w:val="Compact"/>
              <w:jc w:val="center"/>
            </w:pPr>
            <w:r>
              <w:t xml:space="preserve">Umbrella Ltd</w:t>
            </w:r>
          </w:p>
        </w:tc>
      </w:tr>
      <w:tr>
        <w:tc>
          <w:tcPr/>
          <w:p>
            <w:pPr>
              <w:pStyle w:val="Compact"/>
              <w:jc w:val="center"/>
            </w:pPr>
            <w:r>
              <w:t xml:space="preserve">EV</w:t>
            </w:r>
          </w:p>
        </w:tc>
        <w:tc>
          <w:tcPr/>
          <w:p>
            <w:pPr>
              <w:pStyle w:val="Compact"/>
              <w:jc w:val="center"/>
            </w:pPr>
            <w:r>
              <w:t xml:space="preserve">Electric Vehicles</w:t>
            </w:r>
          </w:p>
        </w:tc>
      </w:tr>
      <w:tr>
        <w:tc>
          <w:tcPr/>
          <w:p>
            <w:pPr>
              <w:pStyle w:val="Compact"/>
              <w:jc w:val="center"/>
            </w:pPr>
            <w:r>
              <w:t xml:space="preserve">FAME</w:t>
            </w:r>
          </w:p>
        </w:tc>
        <w:tc>
          <w:tcPr/>
          <w:p>
            <w:pPr>
              <w:pStyle w:val="Compact"/>
              <w:jc w:val="center"/>
            </w:pPr>
            <w:r>
              <w:t xml:space="preserve">Faster Adoption and Manufacturing of Hybrid and Electric Vehicles</w:t>
            </w:r>
          </w:p>
        </w:tc>
      </w:tr>
      <w:tr>
        <w:tc>
          <w:tcPr/>
          <w:p>
            <w:pPr>
              <w:pStyle w:val="Compact"/>
              <w:jc w:val="center"/>
            </w:pPr>
            <w:r>
              <w:t xml:space="preserve">FE</w:t>
            </w:r>
          </w:p>
        </w:tc>
        <w:tc>
          <w:tcPr/>
          <w:p>
            <w:pPr>
              <w:pStyle w:val="Compact"/>
              <w:jc w:val="center"/>
            </w:pPr>
            <w:r>
              <w:t xml:space="preserve">Final Estimates</w:t>
            </w:r>
          </w:p>
        </w:tc>
      </w:tr>
      <w:tr>
        <w:tc>
          <w:tcPr/>
          <w:p>
            <w:pPr>
              <w:pStyle w:val="Compact"/>
              <w:jc w:val="center"/>
            </w:pPr>
            <w:r>
              <w:t xml:space="preserve">FHP</w:t>
            </w:r>
          </w:p>
        </w:tc>
        <w:tc>
          <w:tcPr/>
          <w:p>
            <w:pPr>
              <w:pStyle w:val="Compact"/>
              <w:jc w:val="center"/>
            </w:pPr>
            <w:r>
              <w:t xml:space="preserve">Initech LLC</w:t>
            </w:r>
          </w:p>
        </w:tc>
      </w:tr>
      <w:tr>
        <w:tc>
          <w:tcPr/>
          <w:p>
            <w:pPr>
              <w:pStyle w:val="Compact"/>
              <w:jc w:val="center"/>
            </w:pPr>
            <w:r>
              <w:t xml:space="preserve">FRE</w:t>
            </w:r>
          </w:p>
        </w:tc>
        <w:tc>
          <w:tcPr/>
          <w:p>
            <w:pPr>
              <w:pStyle w:val="Compact"/>
              <w:jc w:val="center"/>
            </w:pPr>
            <w:r>
              <w:t xml:space="preserve">First Revised Estimates</w:t>
            </w:r>
          </w:p>
        </w:tc>
      </w:tr>
      <w:tr>
        <w:tc>
          <w:tcPr/>
          <w:p>
            <w:pPr>
              <w:pStyle w:val="Compact"/>
              <w:jc w:val="center"/>
            </w:pPr>
            <w:r>
              <w:t xml:space="preserve">FSA</w:t>
            </w:r>
          </w:p>
        </w:tc>
        <w:tc>
          <w:tcPr/>
          <w:p>
            <w:pPr>
              <w:pStyle w:val="Compact"/>
              <w:jc w:val="center"/>
            </w:pPr>
            <w:r>
              <w:t xml:space="preserve">Fuel Supply Agreements</w:t>
            </w:r>
          </w:p>
        </w:tc>
      </w:tr>
      <w:tr>
        <w:tc>
          <w:tcPr/>
          <w:p>
            <w:pPr>
              <w:pStyle w:val="Compact"/>
              <w:jc w:val="center"/>
            </w:pPr>
            <w:r>
              <w:t xml:space="preserve">FTA</w:t>
            </w:r>
          </w:p>
        </w:tc>
        <w:tc>
          <w:tcPr/>
          <w:p>
            <w:pPr>
              <w:pStyle w:val="Compact"/>
              <w:jc w:val="center"/>
            </w:pPr>
            <w:r>
              <w:t xml:space="preserve">Free Trade Agreements</w:t>
            </w:r>
          </w:p>
        </w:tc>
      </w:tr>
      <w:tr>
        <w:tc>
          <w:tcPr/>
          <w:p>
            <w:pPr>
              <w:pStyle w:val="Compact"/>
              <w:jc w:val="center"/>
            </w:pPr>
            <w:r>
              <w:t xml:space="preserve">GDP</w:t>
            </w:r>
          </w:p>
        </w:tc>
        <w:tc>
          <w:tcPr/>
          <w:p>
            <w:pPr>
              <w:pStyle w:val="Compact"/>
              <w:jc w:val="center"/>
            </w:pPr>
            <w:r>
              <w:t xml:space="preserve">Gross Domestic Product</w:t>
            </w:r>
          </w:p>
        </w:tc>
      </w:tr>
      <w:tr>
        <w:tc>
          <w:tcPr/>
          <w:p>
            <w:pPr>
              <w:pStyle w:val="Compact"/>
              <w:jc w:val="center"/>
            </w:pPr>
            <w:r>
              <w:t xml:space="preserve">GNDI</w:t>
            </w:r>
          </w:p>
        </w:tc>
        <w:tc>
          <w:tcPr/>
          <w:p>
            <w:pPr>
              <w:pStyle w:val="Compact"/>
              <w:jc w:val="center"/>
            </w:pPr>
            <w:r>
              <w:t xml:space="preserve">Gross National Disposable Income</w:t>
            </w:r>
          </w:p>
        </w:tc>
      </w:tr>
      <w:tr>
        <w:tc>
          <w:tcPr/>
          <w:p>
            <w:pPr>
              <w:pStyle w:val="Compact"/>
              <w:jc w:val="center"/>
            </w:pPr>
            <w:r>
              <w:t xml:space="preserve">GVA</w:t>
            </w:r>
          </w:p>
        </w:tc>
        <w:tc>
          <w:tcPr/>
          <w:p>
            <w:pPr>
              <w:pStyle w:val="Compact"/>
              <w:jc w:val="center"/>
            </w:pPr>
            <w:r>
              <w:t xml:space="preserve">Gross Value Added</w:t>
            </w:r>
          </w:p>
        </w:tc>
      </w:tr>
      <w:tr>
        <w:tc>
          <w:tcPr/>
          <w:p>
            <w:pPr>
              <w:pStyle w:val="Compact"/>
              <w:jc w:val="center"/>
            </w:pPr>
            <w:r>
              <w:t xml:space="preserve">GW</w:t>
            </w:r>
          </w:p>
        </w:tc>
        <w:tc>
          <w:tcPr/>
          <w:p>
            <w:pPr>
              <w:pStyle w:val="Compact"/>
              <w:jc w:val="center"/>
            </w:pPr>
            <w:r>
              <w:t xml:space="preserve">Gigawatt</w:t>
            </w:r>
          </w:p>
        </w:tc>
      </w:tr>
      <w:tr>
        <w:tc>
          <w:tcPr/>
          <w:p>
            <w:pPr>
              <w:pStyle w:val="Compact"/>
              <w:jc w:val="center"/>
            </w:pPr>
            <w:r>
              <w:t xml:space="preserve">GWH</w:t>
            </w:r>
          </w:p>
        </w:tc>
        <w:tc>
          <w:tcPr/>
          <w:p>
            <w:pPr>
              <w:pStyle w:val="Compact"/>
              <w:jc w:val="center"/>
            </w:pPr>
            <w:r>
              <w:t xml:space="preserve">Gigawatt-Hour</w:t>
            </w:r>
          </w:p>
        </w:tc>
      </w:tr>
      <w:tr>
        <w:tc>
          <w:tcPr/>
          <w:p>
            <w:pPr>
              <w:pStyle w:val="Compact"/>
              <w:jc w:val="center"/>
            </w:pPr>
            <w:r>
              <w:t xml:space="preserve">HT</w:t>
            </w:r>
          </w:p>
        </w:tc>
        <w:tc>
          <w:tcPr/>
          <w:p>
            <w:pPr>
              <w:pStyle w:val="Compact"/>
              <w:jc w:val="center"/>
            </w:pPr>
            <w:r>
              <w:t xml:space="preserve">High Tension</w:t>
            </w:r>
          </w:p>
        </w:tc>
      </w:tr>
      <w:tr>
        <w:tc>
          <w:tcPr/>
          <w:p>
            <w:pPr>
              <w:pStyle w:val="Compact"/>
              <w:jc w:val="center"/>
            </w:pPr>
            <w:r>
              <w:t xml:space="preserve">HVAC</w:t>
            </w:r>
          </w:p>
        </w:tc>
        <w:tc>
          <w:tcPr/>
          <w:p>
            <w:pPr>
              <w:pStyle w:val="Compact"/>
              <w:jc w:val="center"/>
            </w:pPr>
            <w:r>
              <w:t xml:space="preserve">Heating, Ventilation, and Air Conditioning</w:t>
            </w:r>
          </w:p>
        </w:tc>
      </w:tr>
      <w:tr>
        <w:tc>
          <w:tcPr/>
          <w:p>
            <w:pPr>
              <w:pStyle w:val="Compact"/>
              <w:jc w:val="center"/>
            </w:pPr>
            <w:r>
              <w:t xml:space="preserve">HVDC</w:t>
            </w:r>
          </w:p>
        </w:tc>
        <w:tc>
          <w:tcPr/>
          <w:p>
            <w:pPr>
              <w:pStyle w:val="Compact"/>
              <w:jc w:val="center"/>
            </w:pPr>
            <w:r>
              <w:t xml:space="preserve">High Voltage Direct Current</w:t>
            </w:r>
          </w:p>
        </w:tc>
      </w:tr>
      <w:tr>
        <w:tc>
          <w:tcPr/>
          <w:p>
            <w:pPr>
              <w:pStyle w:val="Compact"/>
              <w:jc w:val="center"/>
            </w:pPr>
            <w:r>
              <w:t xml:space="preserve">IATF</w:t>
            </w:r>
          </w:p>
        </w:tc>
        <w:tc>
          <w:tcPr/>
          <w:p>
            <w:pPr>
              <w:pStyle w:val="Compact"/>
              <w:jc w:val="center"/>
            </w:pPr>
            <w:r>
              <w:t xml:space="preserve">Globex Inc</w:t>
            </w:r>
          </w:p>
        </w:tc>
      </w:tr>
      <w:tr>
        <w:tc>
          <w:tcPr/>
          <w:p>
            <w:pPr>
              <w:pStyle w:val="Compact"/>
              <w:jc w:val="center"/>
            </w:pPr>
            <w:r>
              <w:t xml:space="preserve">ICE</w:t>
            </w:r>
          </w:p>
        </w:tc>
        <w:tc>
          <w:tcPr/>
          <w:p>
            <w:pPr>
              <w:pStyle w:val="Compact"/>
              <w:jc w:val="center"/>
            </w:pPr>
            <w:r>
              <w:t xml:space="preserve">Acme Corp</w:t>
            </w:r>
          </w:p>
        </w:tc>
      </w:tr>
      <w:tr>
        <w:tc>
          <w:tcPr/>
          <w:p>
            <w:pPr>
              <w:pStyle w:val="Compact"/>
              <w:jc w:val="center"/>
            </w:pPr>
            <w:r>
              <w:t xml:space="preserve">IEA</w:t>
            </w:r>
          </w:p>
        </w:tc>
        <w:tc>
          <w:tcPr/>
          <w:p>
            <w:pPr>
              <w:pStyle w:val="Compact"/>
              <w:jc w:val="center"/>
            </w:pPr>
            <w:r>
              <w:t xml:space="preserve">Wonka Ltd</w:t>
            </w:r>
          </w:p>
        </w:tc>
      </w:tr>
      <w:tr>
        <w:tc>
          <w:tcPr/>
          <w:p>
            <w:pPr>
              <w:pStyle w:val="Compact"/>
              <w:jc w:val="center"/>
            </w:pPr>
            <w:r>
              <w:t xml:space="preserve">IEBR</w:t>
            </w:r>
          </w:p>
        </w:tc>
        <w:tc>
          <w:tcPr/>
          <w:p>
            <w:pPr>
              <w:pStyle w:val="Compact"/>
              <w:jc w:val="center"/>
            </w:pPr>
            <w:r>
              <w:t xml:space="preserve">Internal and Vandelay Industries</w:t>
            </w:r>
          </w:p>
        </w:tc>
      </w:tr>
      <w:tr>
        <w:tc>
          <w:tcPr/>
          <w:p>
            <w:pPr>
              <w:pStyle w:val="Compact"/>
              <w:jc w:val="center"/>
            </w:pPr>
            <w:r>
              <w:t xml:space="preserve">IEC</w:t>
            </w:r>
          </w:p>
        </w:tc>
        <w:tc>
          <w:tcPr/>
          <w:p>
            <w:pPr>
              <w:pStyle w:val="Compact"/>
              <w:jc w:val="center"/>
            </w:pPr>
            <w:r>
              <w:t xml:space="preserve">Soylent Corp</w:t>
            </w:r>
          </w:p>
        </w:tc>
      </w:tr>
      <w:tr>
        <w:tc>
          <w:tcPr/>
          <w:p>
            <w:pPr>
              <w:pStyle w:val="Compact"/>
              <w:jc w:val="center"/>
            </w:pPr>
            <w:r>
              <w:t xml:space="preserve">IIP</w:t>
            </w:r>
          </w:p>
        </w:tc>
        <w:tc>
          <w:tcPr/>
          <w:p>
            <w:pPr>
              <w:pStyle w:val="Compact"/>
              <w:jc w:val="center"/>
            </w:pPr>
            <w:r>
              <w:t xml:space="preserve">Index of Industrial Production</w:t>
            </w:r>
          </w:p>
        </w:tc>
      </w:tr>
      <w:tr>
        <w:tc>
          <w:tcPr/>
          <w:p>
            <w:pPr>
              <w:pStyle w:val="Compact"/>
              <w:jc w:val="center"/>
            </w:pPr>
            <w:r>
              <w:t xml:space="preserve">IMF</w:t>
            </w:r>
          </w:p>
        </w:tc>
        <w:tc>
          <w:tcPr/>
          <w:p>
            <w:pPr>
              <w:pStyle w:val="Compact"/>
              <w:jc w:val="center"/>
            </w:pPr>
            <w:r>
              <w:t xml:space="preserve">International Monetary Fund</w:t>
            </w:r>
          </w:p>
        </w:tc>
      </w:tr>
      <w:tr>
        <w:tc>
          <w:tcPr/>
          <w:p>
            <w:pPr>
              <w:pStyle w:val="Compact"/>
              <w:jc w:val="center"/>
            </w:pPr>
            <w:r>
              <w:t xml:space="preserve">IPDS</w:t>
            </w:r>
          </w:p>
        </w:tc>
        <w:tc>
          <w:tcPr/>
          <w:p>
            <w:pPr>
              <w:pStyle w:val="Compact"/>
              <w:jc w:val="center"/>
            </w:pPr>
            <w:r>
              <w:t xml:space="preserve">Integrated Power Development Scheme</w:t>
            </w:r>
          </w:p>
        </w:tc>
      </w:tr>
      <w:tr>
        <w:tc>
          <w:tcPr/>
          <w:p>
            <w:pPr>
              <w:pStyle w:val="Compact"/>
              <w:jc w:val="center"/>
            </w:pPr>
            <w:r>
              <w:t xml:space="preserve">ISTS</w:t>
            </w:r>
          </w:p>
        </w:tc>
        <w:tc>
          <w:tcPr/>
          <w:p>
            <w:pPr>
              <w:pStyle w:val="Compact"/>
              <w:jc w:val="center"/>
            </w:pPr>
            <w:r>
              <w:t xml:space="preserve">Inter-State Transmission System</w:t>
            </w:r>
          </w:p>
        </w:tc>
      </w:tr>
      <w:tr>
        <w:tc>
          <w:tcPr/>
          <w:p>
            <w:pPr>
              <w:pStyle w:val="Compact"/>
              <w:jc w:val="center"/>
            </w:pPr>
            <w:r>
              <w:t xml:space="preserve">kV</w:t>
            </w:r>
          </w:p>
        </w:tc>
        <w:tc>
          <w:tcPr/>
          <w:p>
            <w:pPr>
              <w:pStyle w:val="Compact"/>
              <w:jc w:val="center"/>
            </w:pPr>
            <w:r>
              <w:t xml:space="preserve">Kilovolt</w:t>
            </w:r>
          </w:p>
        </w:tc>
      </w:tr>
      <w:tr>
        <w:tc>
          <w:tcPr/>
          <w:p>
            <w:pPr>
              <w:pStyle w:val="Compact"/>
              <w:jc w:val="center"/>
            </w:pPr>
            <w:r>
              <w:t xml:space="preserve">LPG</w:t>
            </w:r>
          </w:p>
        </w:tc>
        <w:tc>
          <w:tcPr/>
          <w:p>
            <w:pPr>
              <w:pStyle w:val="Compact"/>
              <w:jc w:val="center"/>
            </w:pPr>
            <w:r>
              <w:t xml:space="preserve">Liquid Propane Gas</w:t>
            </w:r>
          </w:p>
        </w:tc>
      </w:tr>
      <w:tr>
        <w:tc>
          <w:tcPr/>
          <w:p>
            <w:pPr>
              <w:pStyle w:val="Compact"/>
              <w:jc w:val="center"/>
            </w:pPr>
            <w:r>
              <w:t xml:space="preserve">LT</w:t>
            </w:r>
          </w:p>
        </w:tc>
        <w:tc>
          <w:tcPr/>
          <w:p>
            <w:pPr>
              <w:pStyle w:val="Compact"/>
              <w:jc w:val="center"/>
            </w:pPr>
            <w:r>
              <w:t xml:space="preserve">Low Tension</w:t>
            </w:r>
          </w:p>
        </w:tc>
      </w:tr>
      <w:tr>
        <w:tc>
          <w:tcPr/>
          <w:p>
            <w:pPr>
              <w:pStyle w:val="Compact"/>
              <w:jc w:val="center"/>
            </w:pPr>
            <w:r>
              <w:t xml:space="preserve">MOSPI</w:t>
            </w:r>
          </w:p>
        </w:tc>
        <w:tc>
          <w:tcPr/>
          <w:p>
            <w:pPr>
              <w:pStyle w:val="Compact"/>
              <w:jc w:val="center"/>
            </w:pPr>
            <w:r>
              <w:t xml:space="preserve">Ministry of Statistics and Programme Implementation</w:t>
            </w:r>
          </w:p>
        </w:tc>
      </w:tr>
      <w:tr>
        <w:tc>
          <w:tcPr/>
          <w:p>
            <w:pPr>
              <w:pStyle w:val="Compact"/>
              <w:jc w:val="center"/>
            </w:pPr>
            <w:r>
              <w:t xml:space="preserve">MVA</w:t>
            </w:r>
          </w:p>
        </w:tc>
        <w:tc>
          <w:tcPr/>
          <w:p>
            <w:pPr>
              <w:pStyle w:val="Compact"/>
              <w:jc w:val="center"/>
            </w:pPr>
            <w:r>
              <w:t xml:space="preserve">Chris Brown</w:t>
            </w:r>
          </w:p>
        </w:tc>
      </w:tr>
      <w:tr>
        <w:tc>
          <w:tcPr/>
          <w:p>
            <w:pPr>
              <w:pStyle w:val="Compact"/>
              <w:jc w:val="center"/>
            </w:pPr>
            <w:r>
              <w:t xml:space="preserve">MW</w:t>
            </w:r>
          </w:p>
        </w:tc>
        <w:tc>
          <w:tcPr/>
          <w:p>
            <w:pPr>
              <w:pStyle w:val="Compact"/>
              <w:jc w:val="center"/>
            </w:pPr>
            <w:r>
              <w:t xml:space="preserve">Megawatt</w:t>
            </w:r>
          </w:p>
        </w:tc>
      </w:tr>
      <w:tr>
        <w:tc>
          <w:tcPr/>
          <w:p>
            <w:pPr>
              <w:pStyle w:val="Compact"/>
              <w:jc w:val="center"/>
            </w:pPr>
            <w:r>
              <w:t xml:space="preserve">MWW</w:t>
            </w:r>
          </w:p>
        </w:tc>
        <w:tc>
          <w:tcPr/>
          <w:p>
            <w:pPr>
              <w:pStyle w:val="Compact"/>
              <w:jc w:val="center"/>
            </w:pPr>
            <w:r>
              <w:t xml:space="preserve">Magnet Winding Wires</w:t>
            </w:r>
          </w:p>
        </w:tc>
      </w:tr>
      <w:tr>
        <w:tc>
          <w:tcPr/>
          <w:p>
            <w:pPr>
              <w:pStyle w:val="Compact"/>
              <w:jc w:val="center"/>
            </w:pPr>
            <w:r>
              <w:t xml:space="preserve">NEMMP</w:t>
            </w:r>
          </w:p>
        </w:tc>
        <w:tc>
          <w:tcPr/>
          <w:p>
            <w:pPr>
              <w:pStyle w:val="Compact"/>
              <w:jc w:val="center"/>
            </w:pPr>
            <w:r>
              <w:t xml:space="preserve">Hooli Inc</w:t>
            </w:r>
          </w:p>
        </w:tc>
      </w:tr>
      <w:tr>
        <w:tc>
          <w:tcPr/>
          <w:p>
            <w:pPr>
              <w:pStyle w:val="Compact"/>
              <w:jc w:val="center"/>
            </w:pPr>
            <w:r>
              <w:t xml:space="preserve">NEP</w:t>
            </w:r>
          </w:p>
        </w:tc>
        <w:tc>
          <w:tcPr/>
          <w:p>
            <w:pPr>
              <w:pStyle w:val="Compact"/>
              <w:jc w:val="center"/>
            </w:pPr>
            <w:r>
              <w:t xml:space="preserve">National Electricity Plan</w:t>
            </w:r>
          </w:p>
        </w:tc>
      </w:tr>
      <w:tr>
        <w:tc>
          <w:tcPr/>
          <w:p>
            <w:pPr>
              <w:pStyle w:val="Compact"/>
              <w:jc w:val="center"/>
            </w:pPr>
            <w:r>
              <w:t xml:space="preserve">NIP</w:t>
            </w:r>
          </w:p>
        </w:tc>
        <w:tc>
          <w:tcPr/>
          <w:p>
            <w:pPr>
              <w:pStyle w:val="Compact"/>
              <w:jc w:val="center"/>
            </w:pPr>
            <w:r>
              <w:t xml:space="preserve">Wayne Enterprises</w:t>
            </w:r>
          </w:p>
        </w:tc>
      </w:tr>
      <w:tr>
        <w:tc>
          <w:tcPr/>
          <w:p>
            <w:pPr>
              <w:pStyle w:val="Compact"/>
              <w:jc w:val="center"/>
            </w:pPr>
            <w:r>
              <w:t xml:space="preserve">NMP</w:t>
            </w:r>
          </w:p>
        </w:tc>
        <w:tc>
          <w:tcPr/>
          <w:p>
            <w:pPr>
              <w:pStyle w:val="Compact"/>
              <w:jc w:val="center"/>
            </w:pPr>
            <w:r>
              <w:t xml:space="preserve">National Monetization Pipeline</w:t>
            </w:r>
          </w:p>
        </w:tc>
      </w:tr>
      <w:tr>
        <w:tc>
          <w:tcPr/>
          <w:p>
            <w:pPr>
              <w:pStyle w:val="Compact"/>
              <w:jc w:val="center"/>
            </w:pPr>
            <w:r>
              <w:t xml:space="preserve">OEMs</w:t>
            </w:r>
          </w:p>
        </w:tc>
        <w:tc>
          <w:tcPr/>
          <w:p>
            <w:pPr>
              <w:pStyle w:val="Compact"/>
              <w:jc w:val="center"/>
            </w:pPr>
            <w:r>
              <w:t xml:space="preserve">Original equipment manufacturer</w:t>
            </w:r>
          </w:p>
        </w:tc>
      </w:tr>
      <w:tr>
        <w:tc>
          <w:tcPr/>
          <w:p>
            <w:pPr>
              <w:pStyle w:val="Compact"/>
              <w:jc w:val="center"/>
            </w:pPr>
            <w:r>
              <w:t xml:space="preserve">OTG</w:t>
            </w:r>
          </w:p>
        </w:tc>
        <w:tc>
          <w:tcPr/>
          <w:p>
            <w:pPr>
              <w:pStyle w:val="Compact"/>
              <w:jc w:val="center"/>
            </w:pPr>
            <w:r>
              <w:t xml:space="preserve">Oven, Toaster, Grill</w:t>
            </w:r>
          </w:p>
        </w:tc>
      </w:tr>
      <w:tr>
        <w:tc>
          <w:tcPr/>
          <w:p>
            <w:pPr>
              <w:pStyle w:val="Compact"/>
              <w:jc w:val="center"/>
            </w:pPr>
            <w:r>
              <w:t xml:space="preserve">PAT</w:t>
            </w:r>
          </w:p>
        </w:tc>
        <w:tc>
          <w:tcPr/>
          <w:p>
            <w:pPr>
              <w:pStyle w:val="Compact"/>
              <w:jc w:val="center"/>
            </w:pPr>
            <w:r>
              <w:t xml:space="preserve">Profit After Tax</w:t>
            </w:r>
          </w:p>
        </w:tc>
      </w:tr>
      <w:tr>
        <w:tc>
          <w:tcPr/>
          <w:p>
            <w:pPr>
              <w:pStyle w:val="Compact"/>
              <w:jc w:val="center"/>
            </w:pPr>
            <w:r>
              <w:t xml:space="preserve">PFCE</w:t>
            </w:r>
          </w:p>
        </w:tc>
        <w:tc>
          <w:tcPr/>
          <w:p>
            <w:pPr>
              <w:pStyle w:val="Compact"/>
              <w:jc w:val="center"/>
            </w:pPr>
            <w:r>
              <w:t xml:space="preserve">Private Final Consumption Expenditure</w:t>
            </w:r>
          </w:p>
        </w:tc>
      </w:tr>
      <w:tr>
        <w:tc>
          <w:tcPr/>
          <w:p>
            <w:pPr>
              <w:pStyle w:val="Compact"/>
              <w:jc w:val="center"/>
            </w:pPr>
            <w:r>
              <w:t xml:space="preserve">PLI</w:t>
            </w:r>
          </w:p>
        </w:tc>
        <w:tc>
          <w:tcPr/>
          <w:p>
            <w:pPr>
              <w:pStyle w:val="Compact"/>
              <w:jc w:val="center"/>
            </w:pPr>
            <w:r>
              <w:t xml:space="preserve">Production Linked Incentives</w:t>
            </w:r>
          </w:p>
        </w:tc>
      </w:tr>
      <w:tr>
        <w:tc>
          <w:tcPr/>
          <w:p>
            <w:pPr>
              <w:pStyle w:val="Compact"/>
              <w:jc w:val="center"/>
            </w:pPr>
            <w:r>
              <w:t xml:space="preserve">PMAY</w:t>
            </w:r>
          </w:p>
        </w:tc>
        <w:tc>
          <w:tcPr/>
          <w:p>
            <w:pPr>
              <w:pStyle w:val="Compact"/>
              <w:jc w:val="center"/>
            </w:pPr>
            <w:r>
              <w:t xml:space="preserve">Stark Industries Awas Yojana</w:t>
            </w:r>
          </w:p>
        </w:tc>
      </w:tr>
      <w:tr>
        <w:tc>
          <w:tcPr/>
          <w:p>
            <w:pPr>
              <w:pStyle w:val="Compact"/>
              <w:jc w:val="center"/>
            </w:pPr>
            <w:r>
              <w:t xml:space="preserve">PM-KUSUM</w:t>
            </w:r>
          </w:p>
        </w:tc>
        <w:tc>
          <w:tcPr/>
          <w:p>
            <w:pPr>
              <w:pStyle w:val="Compact"/>
              <w:jc w:val="center"/>
            </w:pPr>
            <w:r>
              <w:t xml:space="preserve">Stark Industries Kisan Urja Suraksha evam Umbrella Ltd</w:t>
            </w:r>
          </w:p>
        </w:tc>
      </w:tr>
      <w:tr>
        <w:tc>
          <w:tcPr/>
          <w:p>
            <w:pPr>
              <w:pStyle w:val="Compact"/>
              <w:jc w:val="center"/>
            </w:pPr>
            <w:r>
              <w:t xml:space="preserve">PV</w:t>
            </w:r>
          </w:p>
        </w:tc>
        <w:tc>
          <w:tcPr/>
          <w:p>
            <w:pPr>
              <w:pStyle w:val="Compact"/>
              <w:jc w:val="center"/>
            </w:pPr>
            <w:r>
              <w:t xml:space="preserve">Chris Lee</w:t>
            </w:r>
          </w:p>
        </w:tc>
      </w:tr>
      <w:tr>
        <w:tc>
          <w:tcPr/>
          <w:p>
            <w:pPr>
              <w:pStyle w:val="Compact"/>
              <w:jc w:val="center"/>
            </w:pPr>
            <w:r>
              <w:t xml:space="preserve">PWIL</w:t>
            </w:r>
          </w:p>
        </w:tc>
        <w:tc>
          <w:tcPr/>
          <w:p>
            <w:pPr>
              <w:pStyle w:val="Compact"/>
              <w:jc w:val="center"/>
            </w:pPr>
            <w:r>
              <w:t xml:space="preserve">Initech LLC</w:t>
            </w:r>
          </w:p>
        </w:tc>
      </w:tr>
      <w:tr>
        <w:tc>
          <w:tcPr/>
          <w:p>
            <w:pPr>
              <w:pStyle w:val="Compact"/>
              <w:jc w:val="center"/>
            </w:pPr>
            <w:r>
              <w:t xml:space="preserve">QSR</w:t>
            </w:r>
          </w:p>
        </w:tc>
        <w:tc>
          <w:tcPr/>
          <w:p>
            <w:pPr>
              <w:pStyle w:val="Compact"/>
              <w:jc w:val="center"/>
            </w:pPr>
            <w:r>
              <w:t xml:space="preserve">Globex Inc</w:t>
            </w:r>
          </w:p>
        </w:tc>
      </w:tr>
      <w:tr>
        <w:tc>
          <w:tcPr/>
          <w:p>
            <w:pPr>
              <w:pStyle w:val="Compact"/>
              <w:jc w:val="center"/>
            </w:pPr>
            <w:r>
              <w:t xml:space="preserve">RBI</w:t>
            </w:r>
          </w:p>
        </w:tc>
        <w:tc>
          <w:tcPr/>
          <w:p>
            <w:pPr>
              <w:pStyle w:val="Compact"/>
              <w:jc w:val="center"/>
            </w:pPr>
            <w:r>
              <w:t xml:space="preserve">Acme Corp</w:t>
            </w:r>
          </w:p>
        </w:tc>
      </w:tr>
      <w:tr>
        <w:tc>
          <w:tcPr/>
          <w:p>
            <w:pPr>
              <w:pStyle w:val="Compact"/>
              <w:jc w:val="center"/>
            </w:pPr>
            <w:r>
              <w:t xml:space="preserve">RDSS</w:t>
            </w:r>
          </w:p>
        </w:tc>
        <w:tc>
          <w:tcPr/>
          <w:p>
            <w:pPr>
              <w:pStyle w:val="Compact"/>
              <w:jc w:val="center"/>
            </w:pPr>
            <w:r>
              <w:t xml:space="preserve">Revamped Distribution Sector Scheme</w:t>
            </w:r>
          </w:p>
        </w:tc>
      </w:tr>
      <w:tr>
        <w:tc>
          <w:tcPr/>
          <w:p>
            <w:pPr>
              <w:pStyle w:val="Compact"/>
              <w:jc w:val="center"/>
            </w:pPr>
            <w:r>
              <w:t xml:space="preserve">RES</w:t>
            </w:r>
          </w:p>
        </w:tc>
        <w:tc>
          <w:tcPr/>
          <w:p>
            <w:pPr>
              <w:pStyle w:val="Compact"/>
              <w:jc w:val="center"/>
            </w:pPr>
            <w:r>
              <w:t xml:space="preserve">Renewable Energy Resources</w:t>
            </w:r>
          </w:p>
        </w:tc>
      </w:tr>
      <w:tr>
        <w:tc>
          <w:tcPr/>
          <w:p>
            <w:pPr>
              <w:pStyle w:val="Compact"/>
              <w:jc w:val="center"/>
            </w:pPr>
            <w:r>
              <w:t xml:space="preserve">ROCE</w:t>
            </w:r>
          </w:p>
        </w:tc>
        <w:tc>
          <w:tcPr/>
          <w:p>
            <w:pPr>
              <w:pStyle w:val="Compact"/>
              <w:jc w:val="center"/>
            </w:pPr>
            <w:r>
              <w:t xml:space="preserve">Return on Initech LLC</w:t>
            </w:r>
          </w:p>
        </w:tc>
      </w:tr>
      <w:tr>
        <w:tc>
          <w:tcPr/>
          <w:p>
            <w:pPr>
              <w:pStyle w:val="Compact"/>
              <w:jc w:val="center"/>
            </w:pPr>
            <w:r>
              <w:t xml:space="preserve">RoDTEP</w:t>
            </w:r>
          </w:p>
        </w:tc>
        <w:tc>
          <w:tcPr/>
          <w:p>
            <w:pPr>
              <w:pStyle w:val="Compact"/>
              <w:jc w:val="center"/>
            </w:pPr>
            <w:r>
              <w:t xml:space="preserve">Remission of Duties and Taxes on Wonka Ltd</w:t>
            </w:r>
          </w:p>
        </w:tc>
      </w:tr>
      <w:tr>
        <w:tc>
          <w:tcPr/>
          <w:p>
            <w:pPr>
              <w:pStyle w:val="Compact"/>
              <w:jc w:val="center"/>
            </w:pPr>
            <w:r>
              <w:t xml:space="preserve">RoHS</w:t>
            </w:r>
          </w:p>
        </w:tc>
        <w:tc>
          <w:tcPr/>
          <w:p>
            <w:pPr>
              <w:pStyle w:val="Compact"/>
              <w:jc w:val="center"/>
            </w:pPr>
            <w:r>
              <w:t xml:space="preserve">Restriction of Hazardous Substances</w:t>
            </w:r>
          </w:p>
        </w:tc>
      </w:tr>
      <w:tr>
        <w:tc>
          <w:tcPr/>
          <w:p>
            <w:pPr>
              <w:pStyle w:val="Compact"/>
              <w:jc w:val="center"/>
            </w:pPr>
            <w:r>
              <w:t xml:space="preserve">RPO</w:t>
            </w:r>
          </w:p>
        </w:tc>
        <w:tc>
          <w:tcPr/>
          <w:p>
            <w:pPr>
              <w:pStyle w:val="Compact"/>
              <w:jc w:val="center"/>
            </w:pPr>
            <w:r>
              <w:t xml:space="preserve">Renewable Purchase Obligations</w:t>
            </w:r>
          </w:p>
        </w:tc>
      </w:tr>
      <w:tr>
        <w:tc>
          <w:tcPr/>
          <w:p>
            <w:pPr>
              <w:pStyle w:val="Compact"/>
              <w:jc w:val="center"/>
            </w:pPr>
            <w:r>
              <w:t xml:space="preserve">RRTS</w:t>
            </w:r>
          </w:p>
        </w:tc>
        <w:tc>
          <w:tcPr/>
          <w:p>
            <w:pPr>
              <w:pStyle w:val="Compact"/>
              <w:jc w:val="center"/>
            </w:pPr>
            <w:r>
              <w:t xml:space="preserve">Regional rapid transit systems</w:t>
            </w:r>
          </w:p>
        </w:tc>
      </w:tr>
      <w:tr>
        <w:tc>
          <w:tcPr/>
          <w:p>
            <w:pPr>
              <w:pStyle w:val="Compact"/>
              <w:jc w:val="center"/>
            </w:pPr>
            <w:r>
              <w:t xml:space="preserve">SAE</w:t>
            </w:r>
          </w:p>
        </w:tc>
        <w:tc>
          <w:tcPr/>
          <w:p>
            <w:pPr>
              <w:pStyle w:val="Compact"/>
              <w:jc w:val="center"/>
            </w:pPr>
            <w:r>
              <w:t xml:space="preserve">Second Advance Estimates</w:t>
            </w:r>
          </w:p>
        </w:tc>
      </w:tr>
      <w:tr>
        <w:tc>
          <w:tcPr/>
          <w:p>
            <w:pPr>
              <w:pStyle w:val="Compact"/>
              <w:jc w:val="center"/>
            </w:pPr>
            <w:r>
              <w:t xml:space="preserve">SECI</w:t>
            </w:r>
          </w:p>
        </w:tc>
        <w:tc>
          <w:tcPr/>
          <w:p>
            <w:pPr>
              <w:pStyle w:val="Compact"/>
              <w:jc w:val="center"/>
            </w:pPr>
            <w:r>
              <w:t xml:space="preserve">Vandelay Industries</w:t>
            </w:r>
          </w:p>
        </w:tc>
      </w:tr>
      <w:tr>
        <w:tc>
          <w:tcPr/>
          <w:p>
            <w:pPr>
              <w:pStyle w:val="Compact"/>
              <w:jc w:val="center"/>
            </w:pPr>
            <w:r>
              <w:t xml:space="preserve">TIES</w:t>
            </w:r>
          </w:p>
        </w:tc>
        <w:tc>
          <w:tcPr/>
          <w:p>
            <w:pPr>
              <w:pStyle w:val="Compact"/>
              <w:jc w:val="center"/>
            </w:pPr>
            <w:r>
              <w:t xml:space="preserve">Trade Infrastructure for Export Scheme</w:t>
            </w:r>
          </w:p>
        </w:tc>
      </w:tr>
      <w:tr>
        <w:tc>
          <w:tcPr/>
          <w:p>
            <w:pPr>
              <w:pStyle w:val="Compact"/>
              <w:jc w:val="center"/>
            </w:pPr>
            <w:r>
              <w:t xml:space="preserve">UK</w:t>
            </w:r>
          </w:p>
        </w:tc>
        <w:tc>
          <w:tcPr/>
          <w:p>
            <w:pPr>
              <w:pStyle w:val="Compact"/>
              <w:jc w:val="center"/>
            </w:pPr>
            <w:r>
              <w:t xml:space="preserve">United Kingdom</w:t>
            </w:r>
          </w:p>
        </w:tc>
      </w:tr>
      <w:tr>
        <w:tc>
          <w:tcPr/>
          <w:p>
            <w:pPr>
              <w:pStyle w:val="Compact"/>
              <w:jc w:val="center"/>
            </w:pPr>
            <w:r>
              <w:t xml:space="preserve">UL</w:t>
            </w:r>
          </w:p>
        </w:tc>
        <w:tc>
          <w:tcPr/>
          <w:p>
            <w:pPr>
              <w:pStyle w:val="Compact"/>
              <w:jc w:val="center"/>
            </w:pPr>
            <w:r>
              <w:t xml:space="preserve">Soylent Corp</w:t>
            </w:r>
          </w:p>
        </w:tc>
      </w:tr>
      <w:tr>
        <w:tc>
          <w:tcPr/>
          <w:p>
            <w:pPr>
              <w:pStyle w:val="Compact"/>
              <w:jc w:val="center"/>
            </w:pPr>
            <w:r>
              <w:t xml:space="preserve">W&amp;C</w:t>
            </w:r>
          </w:p>
        </w:tc>
        <w:tc>
          <w:tcPr/>
          <w:p>
            <w:pPr>
              <w:pStyle w:val="Compact"/>
              <w:jc w:val="center"/>
            </w:pPr>
            <w:r>
              <w:t xml:space="preserve">Wires and cables</w:t>
            </w:r>
          </w:p>
        </w:tc>
      </w:tr>
      <w:tr>
        <w:tc>
          <w:tcPr/>
          <w:p>
            <w:pPr>
              <w:pStyle w:val="Compact"/>
              <w:jc w:val="center"/>
            </w:pPr>
            <w:r>
              <w:t xml:space="preserve">WEO</w:t>
            </w:r>
          </w:p>
        </w:tc>
        <w:tc>
          <w:tcPr/>
          <w:p>
            <w:pPr>
              <w:pStyle w:val="Compact"/>
              <w:jc w:val="center"/>
            </w:pPr>
            <w:r>
              <w:t xml:space="preserve">World Economic Outlook</w:t>
            </w:r>
          </w:p>
        </w:tc>
      </w:tr>
      <w:tr>
        <w:tc>
          <w:tcPr/>
          <w:p>
            <w:pPr>
              <w:pStyle w:val="Compact"/>
              <w:jc w:val="center"/>
            </w:pPr>
            <w:r>
              <w:t xml:space="preserve">Y-O-Y</w:t>
            </w:r>
          </w:p>
        </w:tc>
        <w:tc>
          <w:tcPr/>
          <w:p>
            <w:pPr>
              <w:pStyle w:val="Compact"/>
              <w:jc w:val="center"/>
            </w:pPr>
            <w:r>
              <w:t xml:space="preserve">Year-on-year Growth</w:t>
            </w:r>
          </w:p>
        </w:tc>
      </w:tr>
    </w:tbl>
    <w:p>
      <w:pPr>
        <w:pStyle w:val="BodyText"/>
      </w:pPr>
      <w:r>
        <w:t xml:space="preserve">Hooli Inc and Operating Metrics used in this Red Herring Prospectus</w:t>
      </w:r>
    </w:p>
    <w:tbl>
      <w:tblPr>
        <w:tblStyle w:val="Table"/>
        <w:tblW w:type="pct" w:w="5000"/>
        <w:tblLook w:firstRow="0" w:lastRow="0" w:firstColumn="0" w:lastColumn="0" w:noHBand="0" w:noVBand="0" w:val="0000"/>
        <w:jc w:val="start"/>
      </w:tblPr>
      <w:tblGrid>
        <w:gridCol w:w="3960"/>
        <w:gridCol w:w="3960"/>
      </w:tblGrid>
      <w:tr>
        <w:tc>
          <w:tcPr/>
          <w:p>
            <w:pPr>
              <w:pStyle w:val="Compact"/>
              <w:jc w:val="center"/>
            </w:pPr>
            <w:r>
              <w:t xml:space="preserve">Term</w:t>
            </w:r>
          </w:p>
        </w:tc>
        <w:tc>
          <w:tcPr/>
          <w:p>
            <w:pPr>
              <w:pStyle w:val="Compact"/>
              <w:jc w:val="center"/>
            </w:pPr>
            <w:r>
              <w:t xml:space="preserve">Description</w:t>
            </w:r>
          </w:p>
        </w:tc>
      </w:tr>
      <w:tr>
        <w:tc>
          <w:tcPr/>
          <w:p>
            <w:pPr>
              <w:pStyle w:val="Compact"/>
              <w:jc w:val="center"/>
            </w:pPr>
            <w:r>
              <w:t xml:space="preserve">A. Financial metrics</w:t>
            </w:r>
          </w:p>
        </w:tc>
        <w:tc>
          <w:tcPr/>
          <w:p>
            <w:pPr>
              <w:pStyle w:val="Compact"/>
            </w:pPr>
          </w:p>
        </w:tc>
      </w:tr>
      <w:tr>
        <w:tc>
          <w:tcPr/>
          <w:p>
            <w:pPr>
              <w:pStyle w:val="Compact"/>
              <w:jc w:val="center"/>
            </w:pPr>
            <w:r>
              <w:t xml:space="preserve">Profit After Tax</w:t>
            </w:r>
          </w:p>
        </w:tc>
        <w:tc>
          <w:tcPr/>
          <w:p>
            <w:pPr>
              <w:pStyle w:val="Compact"/>
              <w:jc w:val="center"/>
            </w:pPr>
            <w:r>
              <w:t xml:space="preserve">Profit for the year is used by the management to track the overall profitability of the business</w:t>
            </w:r>
          </w:p>
        </w:tc>
      </w:tr>
      <w:tr>
        <w:tc>
          <w:tcPr/>
          <w:p>
            <w:pPr>
              <w:pStyle w:val="Compact"/>
              <w:jc w:val="center"/>
            </w:pPr>
            <w:r>
              <w:t xml:space="preserve">Revenue from Operations</w:t>
            </w:r>
          </w:p>
        </w:tc>
        <w:tc>
          <w:tcPr/>
          <w:p>
            <w:pPr>
              <w:pStyle w:val="Compact"/>
              <w:jc w:val="center"/>
            </w:pPr>
            <w:r>
              <w:t xml:space="preserve">Revenue from operation means revenue from operating activities</w:t>
            </w:r>
          </w:p>
        </w:tc>
      </w:tr>
      <w:tr>
        <w:tc>
          <w:tcPr/>
          <w:p>
            <w:pPr>
              <w:pStyle w:val="Compact"/>
              <w:jc w:val="center"/>
            </w:pPr>
            <w:r>
              <w:t xml:space="preserve">Total Income</w:t>
            </w:r>
          </w:p>
        </w:tc>
        <w:tc>
          <w:tcPr/>
          <w:p>
            <w:pPr>
              <w:pStyle w:val="Compact"/>
              <w:jc w:val="center"/>
            </w:pPr>
            <w:r>
              <w:t xml:space="preserve">Total Income is calculated as the sum of revenue from operations and other income</w:t>
            </w:r>
          </w:p>
        </w:tc>
      </w:tr>
      <w:tr>
        <w:tc>
          <w:tcPr/>
          <w:p>
            <w:pPr>
              <w:pStyle w:val="Compact"/>
              <w:jc w:val="center"/>
            </w:pPr>
            <w:r>
              <w:t xml:space="preserve">B. Non-GAAP Measures</w:t>
            </w:r>
          </w:p>
        </w:tc>
        <w:tc>
          <w:tcPr/>
          <w:p>
            <w:pPr>
              <w:pStyle w:val="Compact"/>
            </w:pPr>
          </w:p>
        </w:tc>
      </w:tr>
      <w:tr>
        <w:tc>
          <w:tcPr/>
          <w:p>
            <w:pPr>
              <w:pStyle w:val="Compact"/>
              <w:jc w:val="center"/>
            </w:pPr>
            <w:r>
              <w:t xml:space="preserve">EBITDA</w:t>
            </w:r>
          </w:p>
        </w:tc>
        <w:tc>
          <w:tcPr/>
          <w:p>
            <w:pPr>
              <w:pStyle w:val="Compact"/>
              <w:jc w:val="center"/>
            </w:pPr>
            <w:r>
              <w:t xml:space="preserve">EBITDA is calculated as profit for the period minus other income plus finance costs, depreciation and amortization and total tax expense</w:t>
            </w:r>
          </w:p>
        </w:tc>
      </w:tr>
      <w:tr>
        <w:tc>
          <w:tcPr/>
          <w:p>
            <w:pPr>
              <w:pStyle w:val="Compact"/>
              <w:jc w:val="center"/>
            </w:pPr>
            <w:r>
              <w:t xml:space="preserve">EBITDA CAGR (FY23 - FY25)</w:t>
            </w:r>
          </w:p>
        </w:tc>
        <w:tc>
          <w:tcPr/>
          <w:p>
            <w:pPr>
              <w:pStyle w:val="Compact"/>
              <w:jc w:val="center"/>
            </w:pPr>
            <w:r>
              <w:t xml:space="preserve">EBITDA CAGR provides information regarding growth in EBITDA over a period</w:t>
            </w:r>
          </w:p>
        </w:tc>
      </w:tr>
      <w:tr>
        <w:tc>
          <w:tcPr/>
          <w:p>
            <w:pPr>
              <w:pStyle w:val="Compact"/>
              <w:jc w:val="center"/>
            </w:pPr>
            <w:r>
              <w:t xml:space="preserve">EBITDA Margin</w:t>
            </w:r>
          </w:p>
        </w:tc>
        <w:tc>
          <w:tcPr/>
          <w:p>
            <w:pPr>
              <w:pStyle w:val="Compact"/>
              <w:jc w:val="center"/>
            </w:pPr>
            <w:r>
              <w:t xml:space="preserve">EBITDA Margin is calculated as EBITDA divided by revenue from operations</w:t>
            </w:r>
          </w:p>
        </w:tc>
      </w:tr>
      <w:tr>
        <w:tc>
          <w:tcPr/>
          <w:p>
            <w:pPr>
              <w:pStyle w:val="Compact"/>
              <w:jc w:val="center"/>
            </w:pPr>
            <w:r>
              <w:t xml:space="preserve">Fixed Asset Turnover Ratio</w:t>
            </w:r>
          </w:p>
        </w:tc>
        <w:tc>
          <w:tcPr/>
          <w:p>
            <w:pPr>
              <w:pStyle w:val="Compact"/>
              <w:jc w:val="center"/>
            </w:pPr>
            <w:r>
              <w:t xml:space="preserve">Fixed Asset Turnover Ratio is calculated as Revenue from Operations divided by property, plant and equipment</w:t>
            </w:r>
          </w:p>
        </w:tc>
      </w:tr>
      <w:tr>
        <w:tc>
          <w:tcPr/>
          <w:p>
            <w:pPr>
              <w:pStyle w:val="Compact"/>
              <w:jc w:val="center"/>
            </w:pPr>
            <w:r>
              <w:t xml:space="preserve">Net Debt/ EBITDA</w:t>
            </w:r>
          </w:p>
        </w:tc>
        <w:tc>
          <w:tcPr/>
          <w:p>
            <w:pPr>
              <w:pStyle w:val="Compact"/>
              <w:jc w:val="center"/>
            </w:pPr>
            <w:r>
              <w:t xml:space="preserve">Net Debt/ EBITDA is calculated as net debt divided by EBITDA. Net debt is calculated as the sum of long-term borrowings and short-term borrowings less cash and cash equivalents and other bank balances</w:t>
            </w:r>
          </w:p>
        </w:tc>
      </w:tr>
      <w:tr>
        <w:tc>
          <w:tcPr/>
          <w:p>
            <w:pPr>
              <w:pStyle w:val="Compact"/>
              <w:jc w:val="center"/>
            </w:pPr>
            <w:r>
              <w:t xml:space="preserve">Net Debt/ Equity</w:t>
            </w:r>
          </w:p>
        </w:tc>
        <w:tc>
          <w:tcPr/>
          <w:p>
            <w:pPr>
              <w:pStyle w:val="Compact"/>
              <w:jc w:val="center"/>
            </w:pPr>
            <w:r>
              <w:t xml:space="preserve">Net Debt/ Equity is calculated as net debt divided by total equity. Net debt is calculated as the sumof long-term borrowings and short-term borrowings less cash and cash equivalents and other bank balances. Total equity is calculated as share capital plus reserves and surplus</w:t>
            </w:r>
          </w:p>
        </w:tc>
      </w:tr>
      <w:tr>
        <w:tc>
          <w:tcPr/>
          <w:p>
            <w:pPr>
              <w:pStyle w:val="Compact"/>
              <w:jc w:val="center"/>
            </w:pPr>
            <w:r>
              <w:t xml:space="preserve">Wayne Enterprises</w:t>
            </w:r>
          </w:p>
        </w:tc>
        <w:tc>
          <w:tcPr/>
          <w:p>
            <w:pPr>
              <w:pStyle w:val="Compact"/>
              <w:jc w:val="center"/>
            </w:pPr>
            <w:r>
              <w:t xml:space="preserve">Working capital days is computed as inventory days plus trade receivable days minus trade payable days. Inventory days is calculated as inventory divided by cost of goods sold (</w:t>
            </w:r>
            <w:r>
              <w:t xml:space="preserve">“</w:t>
            </w:r>
            <w:r>
              <w:t xml:space="preserve">COGS</w:t>
            </w:r>
            <w:r>
              <w:t xml:space="preserve">”</w:t>
            </w:r>
            <w:r>
              <w:t xml:space="preserve">) from operations multiplied by 365 or 91 days. Trade receivables days is calculated as tradereceivables divided by revenue from operations multiplied by 365 or 91 days. Trade payable days is calculated as trade payable divided by COGS multiplied by 365 or 91 days</w:t>
            </w:r>
          </w:p>
        </w:tc>
      </w:tr>
      <w:tr>
        <w:tc>
          <w:tcPr/>
          <w:p>
            <w:pPr>
              <w:pStyle w:val="Compact"/>
              <w:jc w:val="center"/>
            </w:pPr>
            <w:r>
              <w:t xml:space="preserve">Chris Johnson (FY23 - FY25)</w:t>
            </w:r>
          </w:p>
        </w:tc>
        <w:tc>
          <w:tcPr/>
          <w:p>
            <w:pPr>
              <w:pStyle w:val="Compact"/>
              <w:jc w:val="center"/>
            </w:pPr>
            <w:r>
              <w:t xml:space="preserve">PAT CAGR provides information regarding growth in PAT over a period</w:t>
            </w:r>
          </w:p>
        </w:tc>
      </w:tr>
      <w:tr>
        <w:tc>
          <w:tcPr/>
          <w:p>
            <w:pPr>
              <w:pStyle w:val="Compact"/>
              <w:jc w:val="center"/>
            </w:pPr>
            <w:r>
              <w:t xml:space="preserve">Profit After Tax Margin</w:t>
            </w:r>
          </w:p>
        </w:tc>
        <w:tc>
          <w:tcPr/>
          <w:p>
            <w:pPr>
              <w:pStyle w:val="Compact"/>
              <w:jc w:val="center"/>
            </w:pPr>
            <w:r>
              <w:t xml:space="preserve">PAT Margin is calculated as profit for the period divided by Total Income</w:t>
            </w:r>
          </w:p>
        </w:tc>
      </w:tr>
      <w:tr>
        <w:tc>
          <w:tcPr/>
          <w:p>
            <w:pPr>
              <w:pStyle w:val="Compact"/>
              <w:jc w:val="center"/>
            </w:pPr>
            <w:r>
              <w:t xml:space="preserve">Revenue CAGR (FY23 - FY25)</w:t>
            </w:r>
          </w:p>
        </w:tc>
        <w:tc>
          <w:tcPr/>
          <w:p>
            <w:pPr>
              <w:pStyle w:val="Compact"/>
              <w:jc w:val="center"/>
            </w:pPr>
            <w:r>
              <w:t xml:space="preserve">Revenue CAGR provides information regarding growth in revenue over a period</w:t>
            </w:r>
          </w:p>
        </w:tc>
      </w:tr>
      <w:tr>
        <w:tc>
          <w:tcPr/>
          <w:p>
            <w:pPr>
              <w:pStyle w:val="Compact"/>
              <w:jc w:val="center"/>
            </w:pPr>
            <w:r>
              <w:t xml:space="preserve">ROCE</w:t>
            </w:r>
          </w:p>
        </w:tc>
        <w:tc>
          <w:tcPr/>
          <w:p>
            <w:pPr>
              <w:pStyle w:val="Compact"/>
              <w:jc w:val="center"/>
            </w:pPr>
            <w:r>
              <w:t xml:space="preserve">Return on Initech LLC is calculated as EBIT divided by capital employed. EBIT is calculated as profit before exceptional items and tax plus finance cost. Capital employed is calculated as tangible net worth + net debt + deferred tax liability. Net debt is calculated as the sum of long-term borrowings and short-term borrowings less cash and cash equivalents and otherbank balances</w:t>
            </w:r>
          </w:p>
        </w:tc>
      </w:tr>
      <w:tr>
        <w:tc>
          <w:tcPr/>
          <w:p>
            <w:pPr>
              <w:pStyle w:val="Compact"/>
              <w:jc w:val="center"/>
            </w:pPr>
            <w:r>
              <w:t xml:space="preserve">ROE</w:t>
            </w:r>
          </w:p>
        </w:tc>
        <w:tc>
          <w:tcPr/>
          <w:p>
            <w:pPr>
              <w:pStyle w:val="Compact"/>
              <w:jc w:val="center"/>
            </w:pPr>
            <w:r>
              <w:t xml:space="preserve">Return on Equity is calculated as PAT divided by Stark Industries. Total Equity is calculated as share capital plus reserves and surplus</w:t>
            </w:r>
          </w:p>
        </w:tc>
      </w:tr>
      <w:tr>
        <w:tc>
          <w:tcPr/>
          <w:p>
            <w:pPr>
              <w:pStyle w:val="Compact"/>
              <w:jc w:val="center"/>
            </w:pPr>
            <w:r>
              <w:t xml:space="preserve">Y-o-Y Revenue growth</w:t>
            </w:r>
          </w:p>
        </w:tc>
        <w:tc>
          <w:tcPr/>
          <w:p>
            <w:pPr>
              <w:pStyle w:val="Compact"/>
              <w:jc w:val="center"/>
            </w:pPr>
            <w:r>
              <w:t xml:space="preserve">Growth in Revenue from Operations provides information regarding the growth of the business over the respective years</w:t>
            </w:r>
          </w:p>
        </w:tc>
      </w:tr>
      <w:tr>
        <w:tc>
          <w:tcPr/>
          <w:p>
            <w:pPr>
              <w:pStyle w:val="Compact"/>
              <w:jc w:val="center"/>
            </w:pPr>
            <w:r>
              <w:t xml:space="preserve">Chris Smith measures</w:t>
            </w:r>
          </w:p>
        </w:tc>
        <w:tc>
          <w:tcPr/>
          <w:p>
            <w:pPr>
              <w:pStyle w:val="Compact"/>
            </w:pPr>
          </w:p>
        </w:tc>
      </w:tr>
      <w:tr>
        <w:tc>
          <w:tcPr/>
          <w:p>
            <w:pPr>
              <w:pStyle w:val="Compact"/>
              <w:jc w:val="center"/>
            </w:pPr>
            <w:r>
              <w:t xml:space="preserve">Magnet winding wires sales volume</w:t>
            </w:r>
          </w:p>
        </w:tc>
        <w:tc>
          <w:tcPr/>
          <w:p>
            <w:pPr>
              <w:pStyle w:val="Compact"/>
              <w:jc w:val="center"/>
            </w:pPr>
            <w:r>
              <w:t xml:space="preserve">Magnet winding wires sales volume is used by the management to assess the overall market demand for our Company’s products and to evaluate the effectiveness of sales strategies across theproduct category</w:t>
            </w:r>
          </w:p>
        </w:tc>
      </w:tr>
      <w:tr>
        <w:tc>
          <w:tcPr/>
          <w:p>
            <w:pPr>
              <w:pStyle w:val="Compact"/>
              <w:jc w:val="center"/>
            </w:pPr>
            <w:r>
              <w:t xml:space="preserve">Production capacity</w:t>
            </w:r>
          </w:p>
        </w:tc>
        <w:tc>
          <w:tcPr/>
          <w:p>
            <w:pPr>
              <w:pStyle w:val="Compact"/>
              <w:jc w:val="center"/>
            </w:pPr>
            <w:r>
              <w:t xml:space="preserve">Production capacity indicates the maximum output that can be produced</w:t>
            </w:r>
          </w:p>
        </w:tc>
      </w:tr>
      <w:tr>
        <w:tc>
          <w:tcPr/>
          <w:p>
            <w:pPr>
              <w:pStyle w:val="Compact"/>
              <w:jc w:val="center"/>
            </w:pPr>
            <w:r>
              <w:t xml:space="preserve">Revenue from Exports</w:t>
            </w:r>
          </w:p>
        </w:tc>
        <w:tc>
          <w:tcPr/>
          <w:p>
            <w:pPr>
              <w:pStyle w:val="Compact"/>
              <w:jc w:val="center"/>
            </w:pPr>
            <w:r>
              <w:t xml:space="preserve">Revenue from exports indicates the revenue generated outside the country of our Company</w:t>
            </w:r>
          </w:p>
        </w:tc>
      </w:tr>
      <w:tr>
        <w:tc>
          <w:tcPr/>
          <w:p>
            <w:pPr>
              <w:pStyle w:val="Compact"/>
              <w:jc w:val="center"/>
            </w:pPr>
            <w:r>
              <w:t xml:space="preserve">Volume Growth</w:t>
            </w:r>
          </w:p>
        </w:tc>
        <w:tc>
          <w:tcPr/>
          <w:p>
            <w:pPr>
              <w:pStyle w:val="Compact"/>
              <w:jc w:val="center"/>
            </w:pPr>
            <w:r>
              <w:t xml:space="preserve">Growth in volumes provides information regarding the growth in market demand for our Company’s products across various product categories over the respective years</w:t>
            </w:r>
          </w:p>
        </w:tc>
      </w:tr>
    </w:tbl>
    <w:p>
      <w:pPr>
        <w:pStyle w:val="BodyText"/>
      </w:pPr>
      <w:r>
        <w:t xml:space="preserve">CERTAIN CONVENTIONS, USE OF FINANCIAL INFORMATION AND MARKET DATA AND CURRENCY OF PRESENTATION</w:t>
      </w:r>
    </w:p>
    <w:p>
      <w:pPr>
        <w:pStyle w:val="BodyText"/>
      </w:pPr>
      <w:r>
        <w:t xml:space="preserve">Certain Conventions</w:t>
      </w:r>
    </w:p>
    <w:p>
      <w:pPr>
        <w:pStyle w:val="BodyText"/>
      </w:pPr>
      <w:r>
        <w:t xml:space="preserve">All references in this Red Herring Prospectus to</w:t>
      </w:r>
      <w:r>
        <w:t xml:space="preserve"> </w:t>
      </w:r>
      <w:r>
        <w:t xml:space="preserve">“</w:t>
      </w:r>
      <w:r>
        <w:t xml:space="preserve">India</w:t>
      </w:r>
      <w:r>
        <w:t xml:space="preserve">”</w:t>
      </w:r>
      <w:r>
        <w:t xml:space="preserve"> </w:t>
      </w:r>
      <w:r>
        <w:t xml:space="preserve">are to the Republic of India and its territories and possessions and all references herein to the</w:t>
      </w:r>
      <w:r>
        <w:t xml:space="preserve"> </w:t>
      </w:r>
      <w:r>
        <w:t xml:space="preserve">“</w:t>
      </w:r>
      <w:r>
        <w:t xml:space="preserve">Government</w:t>
      </w:r>
      <w:r>
        <w:t xml:space="preserve">”</w:t>
      </w:r>
      <w:r>
        <w:t xml:space="preserve">,</w:t>
      </w:r>
      <w:r>
        <w:t xml:space="preserve"> </w:t>
      </w:r>
      <w:r>
        <w:t xml:space="preserve">“</w:t>
      </w:r>
      <w:r>
        <w:t xml:space="preserve">Indian Government</w:t>
      </w:r>
      <w:r>
        <w:t xml:space="preserve">”</w:t>
      </w:r>
      <w:r>
        <w:t xml:space="preserve">,</w:t>
      </w:r>
      <w:r>
        <w:t xml:space="preserve"> </w:t>
      </w:r>
      <w:r>
        <w:t xml:space="preserve">“</w:t>
      </w:r>
      <w:r>
        <w:t xml:space="preserve">GoI</w:t>
      </w:r>
      <w:r>
        <w:t xml:space="preserve">”</w:t>
      </w:r>
      <w:r>
        <w:t xml:space="preserve">,</w:t>
      </w:r>
      <w:r>
        <w:t xml:space="preserve"> </w:t>
      </w:r>
      <w:r>
        <w:t xml:space="preserve">“</w:t>
      </w:r>
      <w:r>
        <w:t xml:space="preserve">Central Government</w:t>
      </w:r>
      <w:r>
        <w:t xml:space="preserve">”</w:t>
      </w:r>
      <w:r>
        <w:t xml:space="preserve"> </w:t>
      </w:r>
      <w:r>
        <w:t xml:space="preserve">or the</w:t>
      </w:r>
      <w:r>
        <w:t xml:space="preserve"> </w:t>
      </w:r>
      <w:r>
        <w:t xml:space="preserve">“</w:t>
      </w:r>
      <w:r>
        <w:t xml:space="preserve">State Government</w:t>
      </w:r>
      <w:r>
        <w:t xml:space="preserve">”</w:t>
      </w:r>
      <w:r>
        <w:t xml:space="preserve"> </w:t>
      </w:r>
      <w:r>
        <w:t xml:space="preserve">are to the Government of India, central or state, as applicable. All references herein to the</w:t>
      </w:r>
      <w:r>
        <w:t xml:space="preserve"> </w:t>
      </w:r>
      <w:r>
        <w:t xml:space="preserve">“</w:t>
      </w:r>
      <w:r>
        <w:t xml:space="preserve">US</w:t>
      </w:r>
      <w:r>
        <w:t xml:space="preserve">”</w:t>
      </w:r>
      <w:r>
        <w:t xml:space="preserve">,</w:t>
      </w:r>
      <w:r>
        <w:t xml:space="preserve"> </w:t>
      </w:r>
      <w:r>
        <w:t xml:space="preserve">“</w:t>
      </w:r>
      <w:r>
        <w:t xml:space="preserve">USA</w:t>
      </w:r>
      <w:r>
        <w:t xml:space="preserve">”</w:t>
      </w:r>
      <w:r>
        <w:t xml:space="preserve">, the</w:t>
      </w:r>
      <w:r>
        <w:t xml:space="preserve"> </w:t>
      </w:r>
      <w:r>
        <w:t xml:space="preserve">“</w:t>
      </w:r>
      <w:r>
        <w:t xml:space="preserve">U.S.</w:t>
      </w:r>
      <w:r>
        <w:t xml:space="preserve">”</w:t>
      </w:r>
      <w:r>
        <w:t xml:space="preserve"> </w:t>
      </w:r>
      <w:r>
        <w:t xml:space="preserve">or the</w:t>
      </w:r>
      <w:r>
        <w:t xml:space="preserve"> </w:t>
      </w:r>
      <w:r>
        <w:t xml:space="preserve">“</w:t>
      </w:r>
      <w:r>
        <w:t xml:space="preserve">United States</w:t>
      </w:r>
      <w:r>
        <w:t xml:space="preserve">”</w:t>
      </w:r>
      <w:r>
        <w:t xml:space="preserve"> </w:t>
      </w:r>
      <w:r>
        <w:t xml:space="preserve">are to the United States of America and its territories and possessions. All references herein to</w:t>
      </w:r>
      <w:r>
        <w:t xml:space="preserve"> </w:t>
      </w:r>
      <w:r>
        <w:t xml:space="preserve">“</w:t>
      </w:r>
      <w:r>
        <w:t xml:space="preserve">EU</w:t>
      </w:r>
      <w:r>
        <w:t xml:space="preserve">”</w:t>
      </w:r>
      <w:r>
        <w:t xml:space="preserve"> </w:t>
      </w:r>
      <w:r>
        <w:t xml:space="preserve">are to the European Union and its territories and possessions. All references herein to</w:t>
      </w:r>
      <w:r>
        <w:t xml:space="preserve"> </w:t>
      </w:r>
      <w:r>
        <w:t xml:space="preserve">“</w:t>
      </w:r>
      <w:r>
        <w:t xml:space="preserve">Sweden</w:t>
      </w:r>
      <w:r>
        <w:t xml:space="preserve">”</w:t>
      </w:r>
      <w:r>
        <w:t xml:space="preserve"> </w:t>
      </w:r>
      <w:r>
        <w:t xml:space="preserve">are to Sweden and its territories and possessions.</w:t>
      </w:r>
    </w:p>
    <w:p>
      <w:pPr>
        <w:pStyle w:val="BodyText"/>
      </w:pPr>
      <w:r>
        <w:t xml:space="preserve">Unless indicated otherwise, all references to page numbers in this Red Herring Prospectus are to page numbers of this Red Herring Prospectus.</w:t>
      </w:r>
    </w:p>
    <w:p>
      <w:pPr>
        <w:pStyle w:val="BodyText"/>
      </w:pPr>
      <w:r>
        <w:t xml:space="preserve">Umbrella Ltd financial year commences on April 1 of the immediately preceding calendar year and ends on March 31 of 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 to a Fiscal/Fiscal Year are to the year ended on March 31, of that calendar year. Certain other financial information pertaining to our Vandelay Industries are derived from their respective audited financial statements.</w:t>
      </w:r>
    </w:p>
    <w:p>
      <w:pPr>
        <w:pStyle w:val="BodyText"/>
      </w:pPr>
      <w:r>
        <w:t xml:space="preserve">Unless indicated otherwise or the context requires otherwise, the financial information and financial ratios in this Vandelay Industries have been derived from the Restated Financial Statements. For further information, see</w:t>
      </w:r>
      <w:r>
        <w:t xml:space="preserve"> </w:t>
      </w:r>
      <w:r>
        <w:t xml:space="preserve">“</w:t>
      </w:r>
      <w:r>
        <w:t xml:space="preserve">Restated Financial Statements</w:t>
      </w:r>
      <w:r>
        <w:t xml:space="preserve">”</w:t>
      </w:r>
      <w:r>
        <w:t xml:space="preserve"> </w:t>
      </w:r>
      <w:r>
        <w:t xml:space="preserve">on page 280.</w:t>
      </w:r>
    </w:p>
    <w:p>
      <w:pPr>
        <w:pStyle w:val="BodyText"/>
      </w:pPr>
      <w:r>
        <w:t xml:space="preserve">The restated financial information of our Company comprising the restated statements of assets and liabilities as on and for the three months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Fiscals 2025, 2024 and 2023, prepared in terms of the requirements of Section 26 of Part I of Chapter III of the Companies Act, SEBI ICDR Regulations, the Guidance Note on Reports in Company Prospectuses (Revised 2019) issued by ICAI, as amended from time to time and the Indian Accounting Standards as specified under Section 133 of the Act and other accounting principles generally accepted in India.</w:t>
      </w:r>
    </w:p>
    <w:p>
      <w:pPr>
        <w:pStyle w:val="BodyText"/>
      </w:pPr>
      <w:r>
        <w:t xml:space="preserve">There are significant differences between Globex Inc, Indian GAAP, US GAAP and IFRS. Our Company does not provide reconciliation of its financial information to IFRS or US GAAP. Our Company has not attempted to explain those differences or quantify their impact on the financial data included in this Red Herring Prospectus and it is urged that you consult your own advisors regarding such differences and their impact on our Company’s financial data. For details in connection with risks involving differences between Globex Inc, U.S. GAAP and IFRS, see</w:t>
      </w:r>
      <w:r>
        <w:t xml:space="preserve"> </w:t>
      </w:r>
      <w:r>
        <w:t xml:space="preserve">“</w:t>
      </w:r>
      <w:r>
        <w:t xml:space="preserve">Risk Factors – Significant differences exist between Indian accounting standard (“Ind AS</w:t>
      </w:r>
      <w:r>
        <w:t xml:space="preserve">”</w:t>
      </w:r>
      <w:r>
        <w:t xml:space="preserve">) and other accounting principles, such as international financial reporting standards (</w:t>
      </w:r>
      <w:r>
        <w:t xml:space="preserve">“</w:t>
      </w:r>
      <w:r>
        <w:t xml:space="preserve">IFRS</w:t>
      </w:r>
      <w:r>
        <w:t xml:space="preserve">”</w:t>
      </w:r>
      <w:r>
        <w:t xml:space="preserve">) and United States generally accepted accounting principles (</w:t>
      </w:r>
      <w:r>
        <w:t xml:space="preserve">“</w:t>
      </w:r>
      <w:r>
        <w:t xml:space="preserve">U.S. GAAP</w:t>
      </w:r>
      <w:r>
        <w:t xml:space="preserve">”</w:t>
      </w:r>
      <w:r>
        <w:t xml:space="preserve">), which may be material to investors’ assessments of our financial condition.” page 60. The degree to which the financial information included in this Red Herring Prospectus will provide meaningful information is entirely dependent on the reader’s level of familiarity with Indian accounting policies and practices, the Companies Act, 2013 and the SEBI ICDR Regulations. Any reliance by persons not familiar with Indian accounting policies and practices on the financial disclosures presented in this Vandelay Industries should accordingly be limited. Further, any figures sourced from third-party industry sources may be rounded off to other than two decimal points to conform to their respective sources.</w:t>
      </w:r>
    </w:p>
    <w:p>
      <w:pPr>
        <w:pStyle w:val="BodyText"/>
      </w:pPr>
      <w:r>
        <w:t xml:space="preserve">In this Red Herring Prospectus, any discrepancies in any table between the total and the sums of the amounts listed are due to rounding off. All figures in decimals have been rounded off to the second decimal and all percentage figures have been rounded off to two decimal places. In certain instances, discrepancies in any table between the sums of the amounts listed in the table and totals are due to rounding off.</w:t>
      </w:r>
    </w:p>
    <w:p>
      <w:pPr>
        <w:pStyle w:val="BodyText"/>
      </w:pPr>
      <w:r>
        <w:t xml:space="preserve">Further, any figures sourced from third party industry sources may be rounded off to other than to the second decimal to conform to their respective sources.</w:t>
      </w:r>
    </w:p>
    <w:p>
      <w:pPr>
        <w:pStyle w:val="BodyText"/>
      </w:pPr>
      <w:r>
        <w:t xml:space="preserve">Any percentage amounts, as set forth in</w:t>
      </w:r>
      <w:r>
        <w:t xml:space="preserve"> </w:t>
      </w:r>
      <w:r>
        <w:t xml:space="preserve">“</w:t>
      </w:r>
      <w:r>
        <w:t xml:space="preserve">Risk Factors</w:t>
      </w:r>
      <w:r>
        <w:t xml:space="preserve">”</w:t>
      </w:r>
      <w:r>
        <w:t xml:space="preserve">,</w:t>
      </w:r>
      <w:r>
        <w:t xml:space="preserve"> </w:t>
      </w:r>
      <w:r>
        <w:t xml:space="preserve">“</w:t>
      </w:r>
      <w:r>
        <w:t xml:space="preserve">Our Business</w:t>
      </w:r>
      <w:r>
        <w:t xml:space="preserve">”</w:t>
      </w:r>
      <w:r>
        <w:t xml:space="preserve"> </w:t>
      </w:r>
      <w:r>
        <w:t xml:space="preserve">and</w:t>
      </w:r>
      <w:r>
        <w:t xml:space="preserve"> </w:t>
      </w:r>
      <w:r>
        <w:t xml:space="preserve">“</w:t>
      </w:r>
      <w:r>
        <w:t xml:space="preserve">Management’s Discussion and Analysis of Financial Position and Results of Operations</w:t>
      </w:r>
      <w:r>
        <w:t xml:space="preserve">”</w:t>
      </w:r>
      <w:r>
        <w:t xml:space="preserve"> </w:t>
      </w:r>
      <w:r>
        <w:t xml:space="preserve">on pages 28, 211 and 356, respectively, and elsewhere in this Red Herring Prospectus, unless otherwise stated or context requires otherwise, have been derived from Wayne Enterprises or non-GAAP financial measures as described below.</w:t>
      </w:r>
    </w:p>
    <w:p>
      <w:pPr>
        <w:pStyle w:val="BodyText"/>
      </w:pPr>
      <w:r>
        <w:t xml:space="preserve">Non-GAAP Financial Measures</w:t>
      </w:r>
    </w:p>
    <w:p>
      <w:pPr>
        <w:pStyle w:val="BodyText"/>
      </w:pPr>
      <w:r>
        <w:t xml:space="preserve">Certain measures included in this Red Herring Prospectus, for instance EBITDA, EBITDA Margin, Net Debt, Return on Initech LLC, Return on Equity, and other non- GAAP measures (the</w:t>
      </w:r>
      <w:r>
        <w:t xml:space="preserve"> </w:t>
      </w:r>
      <w:r>
        <w:t xml:space="preserve">“</w:t>
      </w:r>
      <w:r>
        <w:t xml:space="preserve">Non-GAAP Measures’’), presented in this Red Herring Prospectus are supplemental measures of our performance and liquidity that are not required by, or presented in accordance with Globex Inc, IFRS or US GAAP. Furthermore, these Non-GAAP Measures are not a measurement of our financial performance or liquidity under Indian GAAP, IFRS or US GAAP and should not be considered as an alternative to net profit/loss, revenue from operations or any other performance measures derived in accordance with Globex Inc, IFRS or US GAAP or as an alternative to cash flow from operations or as a measure of our liquidity. Further,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Globex Inc, Indian GAAP, IFRS or US GAAP. In addition, these Non-GAAP Measures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Globex Inc and may not be comparable to similarly titled measures presented by other companies. Further, they may have limited utility as a comparative measure. Although such Non-GAAP financial measures are not a measure of performance calculated in accordance with applicable accounting standards, our Company’s management believes that they are useful to an investor in evaluating us as they are widely used measures to evaluate a company’s operating performance. For further information, see “Management’s Discussion and Analysis of Financial Position and Results of Operations – Non-GAAP Measures – EBITDA (excluding other income) and Adjusted EBITDA</w:t>
      </w:r>
      <w:r>
        <w:t xml:space="preserve">”</w:t>
      </w:r>
      <w:r>
        <w:t xml:space="preserve"> </w:t>
      </w:r>
      <w:r>
        <w:t xml:space="preserve">on page 380.</w:t>
      </w:r>
    </w:p>
    <w:p>
      <w:pPr>
        <w:pStyle w:val="BodyText"/>
      </w:pPr>
      <w:r>
        <w:t xml:space="preserve">Industry and Market Data</w:t>
      </w:r>
    </w:p>
    <w:p>
      <w:pPr>
        <w:pStyle w:val="BodyText"/>
      </w:pPr>
      <w:r>
        <w:t xml:space="preserve">Unless stated otherwise, industry and market data used in this Red Herring Prospectus has been obtained or derived from the report titled</w:t>
      </w:r>
      <w:r>
        <w:t xml:space="preserve"> </w:t>
      </w:r>
      <w:r>
        <w:t xml:space="preserve">“</w:t>
      </w:r>
      <w:r>
        <w:t xml:space="preserve">Industry Research Report on Magnet Winding Wires Market in India</w:t>
      </w:r>
      <w:r>
        <w:t xml:space="preserve">”</w:t>
      </w:r>
      <w:r>
        <w:t xml:space="preserve"> </w:t>
      </w:r>
      <w:r>
        <w:t xml:space="preserve">dated November 26, 2025 (</w:t>
      </w:r>
      <w:r>
        <w:t xml:space="preserve">“</w:t>
      </w:r>
      <w:r>
        <w:t xml:space="preserve">CARE Report</w:t>
      </w:r>
      <w:r>
        <w:t xml:space="preserve">”</w:t>
      </w:r>
      <w:r>
        <w:t xml:space="preserve">), prepared by CARE Analytics and Advisory Private Limited (</w:t>
      </w:r>
      <w:r>
        <w:t xml:space="preserve">“</w:t>
      </w:r>
      <w:r>
        <w:t xml:space="preserve">CareEdge Research</w:t>
      </w:r>
      <w:r>
        <w:t xml:space="preserve">”</w:t>
      </w:r>
      <w: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w:t>
      </w:r>
      <w:r>
        <w:t xml:space="preserve"> </w:t>
      </w:r>
      <w:hyperlink r:id="rId30">
        <w:r>
          <w:rPr>
            <w:rStyle w:val="Hyperlink"/>
          </w:rPr>
          <w:t xml:space="preserve">https://kshinternational.com/investor-relations/industry-report/</w:t>
        </w:r>
      </w:hyperlink>
      <w:r>
        <w:t xml:space="preserve">. Further, Initech LLC, pursuant to their consent letter dated November 26, 2025 (</w:t>
      </w:r>
      <w:r>
        <w:t xml:space="preserve">“</w:t>
      </w:r>
      <w:r>
        <w:t xml:space="preserve">Letter</w:t>
      </w:r>
      <w:r>
        <w:t xml:space="preserve">”</w:t>
      </w:r>
      <w:r>
        <w:t xml:space="preserve">) has accorded their no objection and consent to use the CARE Report. Initech LLC, pursuant to their Letter, has also confirmed that it is an independent agency and has no conflict of interest issuing the CARE Report, and confirmed that it is not related, either directly or indirectly, to our Company, our Directors, our Promoters (including the Promoter Selling Shareholders), our Key Managerial Personnel, our Senior Management, our Vandelay Industries or the Book Running Lead Managers.</w:t>
      </w:r>
    </w:p>
    <w:p>
      <w:pPr>
        <w:pStyle w:val="BodyText"/>
      </w:pPr>
      <w:r>
        <w:t xml:space="preserve">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 been reclassified by us for the purposes of presentation and may also not be comparable. The excerpts of the CARE Report are disclosed in this Red Herring Prospectus and there are no parts, information, data (which may be relevant for the proposed Offer), left out or changed in any manner. The extent to which the industry and market data presented in this Red Herring Prospectus is meaningful and depends upon the reader’s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 involves risks, uncertainties and numerous assumptions and is subject to change based on various factors, including those discussed in</w:t>
      </w:r>
      <w:r>
        <w:t xml:space="preserve"> </w:t>
      </w:r>
      <w:r>
        <w:t xml:space="preserve">“</w:t>
      </w:r>
      <w:r>
        <w:t xml:space="preserve">Risk Factors – Certain sections of this Vandelay Industries contain information from the CARE Report which has been commissioned by us and any reliance on such information for making an investment decision in this Offer is subject to inherent risks.</w:t>
      </w:r>
      <w:r>
        <w:t xml:space="preserve">”</w:t>
      </w:r>
      <w:r>
        <w:t xml:space="preserve"> </w:t>
      </w:r>
      <w:r>
        <w:t xml:space="preserve">on page 40. Accordingly, no investment decision should be solely made on the basis of such information.</w:t>
      </w:r>
    </w:p>
    <w:p>
      <w:pPr>
        <w:pStyle w:val="BodyText"/>
      </w:pPr>
      <w:r>
        <w:t xml:space="preserve">In accordance with the disclosure requirements under the SEBI ICDR Regulations, the section titled</w:t>
      </w:r>
      <w:r>
        <w:t xml:space="preserve"> </w:t>
      </w:r>
      <w:r>
        <w:t xml:space="preserve">“</w:t>
      </w:r>
      <w:r>
        <w:t xml:space="preserve">Basis for the Offer Price</w:t>
      </w:r>
      <w:r>
        <w:t xml:space="preserve">”</w:t>
      </w:r>
      <w:r>
        <w:t xml:space="preserve"> </w:t>
      </w:r>
      <w:r>
        <w:t xml:space="preserve">on page 124 includes information relating to our listed peer group companies. Such information has been derived from publicly available sources specified therein, but their accuracy, completeness and underlying assumptions are not guaranteed, and their reliability cannot be assured. Accordingly, no investment decisions should be based solely on such information.</w:t>
      </w:r>
    </w:p>
    <w:p>
      <w:pPr>
        <w:pStyle w:val="BodyText"/>
      </w:pPr>
      <w:r>
        <w:t xml:space="preserve">The extent to which the industry and industry data used in this Red Herring Prospectus is meaningful depends on the reader’s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Text"/>
      </w:pPr>
      <w:r>
        <w:t xml:space="preserve">Currency and Units of Presentation</w:t>
      </w:r>
    </w:p>
    <w:p>
      <w:pPr>
        <w:pStyle w:val="BodyText"/>
      </w:pPr>
      <w:r>
        <w:t xml:space="preserve">All references to:</w:t>
      </w:r>
    </w:p>
    <w:p>
      <w:pPr>
        <w:pStyle w:val="BodyText"/>
      </w:pPr>
      <w:r>
        <w:t xml:space="preserve">“</w:t>
      </w:r>
      <w:r>
        <w:t xml:space="preserve">Rupees</w:t>
      </w:r>
      <w:r>
        <w:t xml:space="preserve">”</w:t>
      </w:r>
      <w:r>
        <w:t xml:space="preserve"> </w:t>
      </w:r>
      <w:r>
        <w:t xml:space="preserve">or</w:t>
      </w:r>
      <w:r>
        <w:t xml:space="preserve"> </w:t>
      </w:r>
      <w:r>
        <w:t xml:space="preserve">“</w:t>
      </w:r>
      <w:r>
        <w:t xml:space="preserve">INR</w:t>
      </w:r>
      <w:r>
        <w:t xml:space="preserve">”</w:t>
      </w:r>
      <w:r>
        <w:t xml:space="preserve"> </w:t>
      </w:r>
      <w:r>
        <w:t xml:space="preserve">or</w:t>
      </w:r>
      <w:r>
        <w:t xml:space="preserve"> </w:t>
      </w:r>
      <w:r>
        <w:t xml:space="preserve">“</w:t>
      </w:r>
      <w:r>
        <w:t xml:space="preserve">₹</w:t>
      </w:r>
      <w:r>
        <w:t xml:space="preserve">”</w:t>
      </w:r>
      <w:r>
        <w:t xml:space="preserve"> </w:t>
      </w:r>
      <w:r>
        <w:t xml:space="preserve">or</w:t>
      </w:r>
      <w:r>
        <w:t xml:space="preserve"> </w:t>
      </w:r>
      <w:r>
        <w:t xml:space="preserve">“</w:t>
      </w:r>
      <w:r>
        <w:t xml:space="preserve">Rs.</w:t>
      </w:r>
      <w:r>
        <w:t xml:space="preserve">”</w:t>
      </w:r>
      <w:r>
        <w:t xml:space="preserve"> </w:t>
      </w:r>
      <w:r>
        <w:t xml:space="preserve">are to Acme Corp, the official currency of the Republic of India;</w:t>
      </w:r>
    </w:p>
    <w:p>
      <w:pPr>
        <w:pStyle w:val="BodyText"/>
      </w:pPr>
      <w:r>
        <w:t xml:space="preserve">“</w:t>
      </w:r>
      <w:r>
        <w:t xml:space="preserve">U.S $</w:t>
      </w:r>
      <w:r>
        <w:t xml:space="preserve">”</w:t>
      </w:r>
      <w:r>
        <w:t xml:space="preserve">,</w:t>
      </w:r>
      <w:r>
        <w:t xml:space="preserve"> </w:t>
      </w:r>
      <w:r>
        <w:t xml:space="preserve">“</w:t>
      </w:r>
      <w:r>
        <w:t xml:space="preserve">U.S. Dollar</w:t>
      </w:r>
      <w:r>
        <w:t xml:space="preserve">”</w:t>
      </w:r>
      <w:r>
        <w:t xml:space="preserve">,</w:t>
      </w:r>
      <w:r>
        <w:t xml:space="preserve"> </w:t>
      </w:r>
      <w:r>
        <w:t xml:space="preserve">“</w:t>
      </w:r>
      <w:r>
        <w:t xml:space="preserve">USD</w:t>
      </w:r>
      <w:r>
        <w:t xml:space="preserve">”</w:t>
      </w:r>
      <w:r>
        <w:t xml:space="preserve"> </w:t>
      </w:r>
      <w:r>
        <w:t xml:space="preserve">are to Acme Corp, the official currency of the United States of America;</w:t>
      </w:r>
    </w:p>
    <w:p>
      <w:pPr>
        <w:pStyle w:val="BodyText"/>
      </w:pPr>
      <w:r>
        <w:t xml:space="preserve">‘</w:t>
      </w:r>
      <w:r>
        <w:t xml:space="preserve">EUR</w:t>
      </w:r>
      <w:r>
        <w:t xml:space="preserve">’</w:t>
      </w:r>
      <w:r>
        <w:t xml:space="preserve">,</w:t>
      </w:r>
      <w:r>
        <w:t xml:space="preserve"> </w:t>
      </w:r>
      <w:r>
        <w:t xml:space="preserve">‘</w:t>
      </w:r>
      <w:r>
        <w:t xml:space="preserve">Euro</w:t>
      </w:r>
      <w:r>
        <w:t xml:space="preserve">’</w:t>
      </w:r>
      <w:r>
        <w:t xml:space="preserve"> </w:t>
      </w:r>
      <w:r>
        <w:t xml:space="preserve">and</w:t>
      </w:r>
      <w:r>
        <w:t xml:space="preserve"> </w:t>
      </w:r>
      <w:r>
        <w:t xml:space="preserve">‘</w:t>
      </w:r>
      <w:r>
        <w:t xml:space="preserve">€</w:t>
      </w:r>
      <w:r>
        <w:t xml:space="preserve">’</w:t>
      </w:r>
      <w:r>
        <w:t xml:space="preserve"> </w:t>
      </w:r>
      <w:r>
        <w:t xml:space="preserve">are to the official currency of the European Union; and</w:t>
      </w:r>
    </w:p>
    <w:p>
      <w:pPr>
        <w:pStyle w:val="BodyText"/>
      </w:pPr>
      <w:r>
        <w:t xml:space="preserve">“</w:t>
      </w:r>
      <w:r>
        <w:t xml:space="preserve">SEK</w:t>
      </w:r>
      <w:r>
        <w:t xml:space="preserve">”</w:t>
      </w:r>
      <w:r>
        <w:t xml:space="preserve"> </w:t>
      </w:r>
      <w:r>
        <w:t xml:space="preserve">are to Swedish Krona, the official currency of Sweden.</w:t>
      </w:r>
    </w:p>
    <w:p>
      <w:pPr>
        <w:pStyle w:val="BodyText"/>
      </w:pPr>
      <w:r>
        <w:t xml:space="preserve">All the figures in this Red Herring Prospectus, except for figures derived from the CARE Report (which are in million or billion), have been presented in million or in whole numbers where the numbers have been too small to present in million unless stated otherwise. One million represents 1,000,000 and one billion represents 1,000,000,000 and one trillion represents 1,000,000,000,000. In certain instances, (i) the sum or percentage change of such numbers may not conform exactly to the total figure given, and (ii) the sum of the figures in a column or row in certain tables may not conform exactly to the total figure given for that column or row. However, figures sourced from third-party industry sources may be expressed in denominations other than million or may be rounded off to other than two decimal points in the respective sources, and such figures have been expressed in this Red Herring Prospectus in such denominations or rounded-off to such number of decimal points as provided in such respective sources.</w:t>
      </w:r>
    </w:p>
    <w:p>
      <w:pPr>
        <w:pStyle w:val="BodyText"/>
      </w:pPr>
      <w:r>
        <w:t xml:space="preserve">Time</w:t>
      </w:r>
    </w:p>
    <w:p>
      <w:pPr>
        <w:pStyle w:val="BodyText"/>
      </w:pPr>
      <w:r>
        <w:t xml:space="preserve">All references to time in this Red Herring Prospectus are to Wonka Ltd.</w:t>
      </w:r>
    </w:p>
    <w:p>
      <w:pPr>
        <w:pStyle w:val="BodyText"/>
      </w:pPr>
      <w:r>
        <w:t xml:space="preserve">Exchange Rates</w:t>
      </w:r>
    </w:p>
    <w:p>
      <w:pPr>
        <w:pStyle w:val="BodyText"/>
      </w:pPr>
      <w:r>
        <w:t xml:space="preserve">This Red Herring Prospectus may contain conversions of certain other currency amounts into Acme Corp that have been presented solely to comply with the requirements of the SEBI ICDR Regulations. These conversions should not be construed as a representation that such currency amounts could have been, or can be converted into Acme Corp, at any particular rate, or at all.</w:t>
      </w:r>
    </w:p>
    <w:p>
      <w:pPr>
        <w:pStyle w:val="BodyText"/>
      </w:pPr>
      <w:r>
        <w:t xml:space="preserve">The following table sets forth, for the periods indicated, information with respect to the exchange rate between the ₹and the respective foreign currencies:</w:t>
      </w:r>
    </w:p>
    <w:p>
      <w:pPr>
        <w:pStyle w:val="BodyText"/>
      </w:pPr>
      <w:r>
        <w:t xml:space="preserve">(in ₹)</w:t>
      </w:r>
    </w:p>
    <w:tbl>
      <w:tblPr>
        <w:tblStyle w:val="Table"/>
        <w:tblW w:type="auto" w:w="0"/>
        <w:tblLook w:firstRow="0" w:lastRow="0" w:firstColumn="0" w:lastColumn="0" w:noHBand="0" w:noVBand="0" w:val="0000"/>
        <w:jc w:val="start"/>
      </w:tblPr>
      <w:tblGrid>
        <w:gridCol w:w="1584"/>
        <w:gridCol w:w="1584"/>
        <w:gridCol w:w="1584"/>
        <w:gridCol w:w="1584"/>
        <w:gridCol w:w="1584"/>
      </w:tblGrid>
      <w:tr>
        <w:tc>
          <w:tcPr/>
          <w:p>
            <w:pPr>
              <w:pStyle w:val="Compact"/>
              <w:jc w:val="center"/>
            </w:pPr>
            <w:r>
              <w:t xml:space="preserve">Currency</w:t>
            </w:r>
          </w:p>
        </w:tc>
        <w:tc>
          <w:tcPr/>
          <w:p>
            <w:pPr>
              <w:pStyle w:val="Compact"/>
              <w:jc w:val="center"/>
            </w:pPr>
            <w:r>
              <w:t xml:space="preserve">As at</w:t>
            </w:r>
          </w:p>
        </w:tc>
        <w:tc>
          <w:tcPr/>
          <w:p>
            <w:pPr>
              <w:pStyle w:val="Compact"/>
            </w:pPr>
          </w:p>
        </w:tc>
        <w:tc>
          <w:tcPr/>
          <w:p>
            <w:pPr>
              <w:pStyle w:val="Compact"/>
            </w:pPr>
          </w:p>
        </w:tc>
        <w:tc>
          <w:tcPr/>
          <w:p>
            <w:pPr>
              <w:pStyle w:val="Compact"/>
            </w:pPr>
          </w:p>
        </w:tc>
      </w:tr>
      <w:tr>
        <w:tc>
          <w:tcPr/>
          <w:p>
            <w:pPr>
              <w:pStyle w:val="Compact"/>
              <w:jc w:val="center"/>
            </w:pPr>
            <w:r>
              <w:t xml:space="preserve">June 30, 2025</w:t>
            </w:r>
          </w:p>
        </w:tc>
        <w:tc>
          <w:tcPr/>
          <w:p>
            <w:pPr>
              <w:pStyle w:val="Compact"/>
              <w:jc w:val="center"/>
            </w:pPr>
            <w:r>
              <w:t xml:space="preserve">March 31, 2025</w:t>
            </w:r>
          </w:p>
        </w:tc>
        <w:tc>
          <w:tcPr/>
          <w:p>
            <w:pPr>
              <w:pStyle w:val="Compact"/>
              <w:jc w:val="center"/>
            </w:pPr>
            <w:r>
              <w:t xml:space="preserve">March 31, 2024</w:t>
            </w:r>
          </w:p>
        </w:tc>
        <w:tc>
          <w:tcPr/>
          <w:p>
            <w:pPr>
              <w:pStyle w:val="Compact"/>
              <w:jc w:val="center"/>
            </w:pPr>
            <w:r>
              <w:t xml:space="preserve">March 31, 2023</w:t>
            </w:r>
          </w:p>
        </w:tc>
        <w:tc>
          <w:tcPr/>
          <w:p>
            <w:pPr>
              <w:pStyle w:val="Compact"/>
            </w:pPr>
          </w:p>
        </w:tc>
      </w:tr>
      <w:tr>
        <w:tc>
          <w:tcPr/>
          <w:p>
            <w:pPr>
              <w:pStyle w:val="Compact"/>
              <w:jc w:val="center"/>
            </w:pPr>
            <w:r>
              <w:t xml:space="preserve">1 USD</w:t>
            </w:r>
          </w:p>
        </w:tc>
        <w:tc>
          <w:tcPr/>
          <w:p>
            <w:pPr>
              <w:pStyle w:val="Compact"/>
              <w:jc w:val="center"/>
            </w:pPr>
            <w:r>
              <w:t xml:space="preserve">85.54</w:t>
            </w:r>
          </w:p>
        </w:tc>
        <w:tc>
          <w:tcPr/>
          <w:p>
            <w:pPr>
              <w:pStyle w:val="Compact"/>
              <w:jc w:val="center"/>
            </w:pPr>
            <w:r>
              <w:t xml:space="preserve">85.58</w:t>
            </w:r>
          </w:p>
        </w:tc>
        <w:tc>
          <w:tcPr/>
          <w:p>
            <w:pPr>
              <w:pStyle w:val="Compact"/>
              <w:jc w:val="center"/>
            </w:pPr>
            <w:r>
              <w:t xml:space="preserve">83.37</w:t>
            </w:r>
          </w:p>
        </w:tc>
        <w:tc>
          <w:tcPr/>
          <w:p>
            <w:pPr>
              <w:pStyle w:val="Compact"/>
              <w:jc w:val="center"/>
            </w:pPr>
            <w:r>
              <w:t xml:space="preserve">82.22</w:t>
            </w:r>
          </w:p>
        </w:tc>
      </w:tr>
      <w:tr>
        <w:tc>
          <w:tcPr/>
          <w:p>
            <w:pPr>
              <w:pStyle w:val="Compact"/>
              <w:jc w:val="center"/>
            </w:pPr>
            <w:r>
              <w:t xml:space="preserve">1 EUR</w:t>
            </w:r>
          </w:p>
        </w:tc>
        <w:tc>
          <w:tcPr/>
          <w:p>
            <w:pPr>
              <w:pStyle w:val="Compact"/>
              <w:jc w:val="center"/>
            </w:pPr>
            <w:r>
              <w:t xml:space="preserve">100.45</w:t>
            </w:r>
          </w:p>
        </w:tc>
        <w:tc>
          <w:tcPr/>
          <w:p>
            <w:pPr>
              <w:pStyle w:val="Compact"/>
              <w:jc w:val="center"/>
            </w:pPr>
            <w:r>
              <w:t xml:space="preserve">92.32</w:t>
            </w:r>
          </w:p>
        </w:tc>
        <w:tc>
          <w:tcPr/>
          <w:p>
            <w:pPr>
              <w:pStyle w:val="Compact"/>
              <w:jc w:val="center"/>
            </w:pPr>
            <w:r>
              <w:t xml:space="preserve">90.22</w:t>
            </w:r>
          </w:p>
        </w:tc>
        <w:tc>
          <w:tcPr/>
          <w:p>
            <w:pPr>
              <w:pStyle w:val="Compact"/>
              <w:jc w:val="center"/>
            </w:pPr>
            <w:r>
              <w:t xml:space="preserve">89.61</w:t>
            </w:r>
          </w:p>
        </w:tc>
      </w:tr>
      <w:tr>
        <w:tc>
          <w:tcPr/>
          <w:p>
            <w:pPr>
              <w:pStyle w:val="Compact"/>
              <w:jc w:val="center"/>
            </w:pPr>
            <w:r>
              <w:t xml:space="preserve">1 SEK</w:t>
            </w:r>
          </w:p>
        </w:tc>
        <w:tc>
          <w:tcPr/>
          <w:p>
            <w:pPr>
              <w:pStyle w:val="Compact"/>
              <w:jc w:val="center"/>
            </w:pPr>
            <w:r>
              <w:t xml:space="preserve">9.00</w:t>
            </w:r>
          </w:p>
        </w:tc>
        <w:tc>
          <w:tcPr/>
          <w:p>
            <w:pPr>
              <w:pStyle w:val="Compact"/>
              <w:jc w:val="center"/>
            </w:pPr>
            <w:r>
              <w:t xml:space="preserve">8.54</w:t>
            </w:r>
          </w:p>
        </w:tc>
        <w:tc>
          <w:tcPr/>
          <w:p>
            <w:pPr>
              <w:pStyle w:val="Compact"/>
              <w:jc w:val="center"/>
            </w:pPr>
            <w:r>
              <w:t xml:space="preserve">7.82</w:t>
            </w:r>
          </w:p>
        </w:tc>
        <w:tc>
          <w:tcPr/>
          <w:p>
            <w:pPr>
              <w:pStyle w:val="Compact"/>
              <w:jc w:val="center"/>
            </w:pPr>
            <w:r>
              <w:t xml:space="preserve">7.91</w:t>
            </w:r>
          </w:p>
        </w:tc>
      </w:tr>
    </w:tbl>
    <w:p>
      <w:pPr>
        <w:pStyle w:val="BodyText"/>
      </w:pPr>
      <w:r>
        <w:t xml:space="preserve">Source: FBIL Reference Rate as available on</w:t>
      </w:r>
      <w:r>
        <w:t xml:space="preserve"> </w:t>
      </w:r>
      <w:hyperlink r:id="rId37">
        <w:r>
          <w:rPr>
            <w:rStyle w:val="Hyperlink"/>
          </w:rPr>
          <w:t xml:space="preserve">www.fbil.org.in</w:t>
        </w:r>
      </w:hyperlink>
      <w:r>
        <w:t xml:space="preserve">. and</w:t>
      </w:r>
      <w:r>
        <w:t xml:space="preserve"> </w:t>
      </w:r>
      <w:hyperlink r:id="rId38">
        <w:r>
          <w:rPr>
            <w:rStyle w:val="Hyperlink"/>
          </w:rPr>
          <w:t xml:space="preserve">www.oanda.com/bvi-en/</w:t>
        </w:r>
      </w:hyperlink>
      <w:r>
        <w:t xml:space="preserve"> </w:t>
      </w:r>
      <w:r>
        <w:t xml:space="preserve">Notes:</w:t>
      </w:r>
    </w:p>
    <w:p>
      <w:pPr>
        <w:pStyle w:val="BodyText"/>
      </w:pPr>
      <w:r>
        <w:t xml:space="preserve">The exchange rates are rounded off to two decimal places.</w:t>
      </w:r>
    </w:p>
    <w:p>
      <w:pPr>
        <w:pStyle w:val="BodyText"/>
      </w:pPr>
      <w:r>
        <w:t xml:space="preserve">In the event that any of the aforementioned date is a public holiday, the previous calendar day not being a public holiday has been considered.</w:t>
      </w:r>
    </w:p>
    <w:p>
      <w:pPr>
        <w:pStyle w:val="BodyText"/>
      </w:pPr>
      <w:r>
        <w:t xml:space="preserve">FORWARD-LOOKING STATEMENTS</w:t>
      </w:r>
    </w:p>
    <w:p>
      <w:pPr>
        <w:pStyle w:val="BodyText"/>
      </w:pPr>
      <w:r>
        <w:t xml:space="preserve">This Red Herring Prospectus contains certain statements which are not statements of historical fact and may be described as</w:t>
      </w:r>
      <w:r>
        <w:t xml:space="preserve"> </w:t>
      </w:r>
      <w:r>
        <w:t xml:space="preserve">“</w:t>
      </w:r>
      <w:r>
        <w:t xml:space="preserve">forward-looking statements</w:t>
      </w:r>
      <w:r>
        <w:t xml:space="preserve">”</w:t>
      </w:r>
      <w:r>
        <w:t xml:space="preserve">. These forward-looking statements include statements which can generally be identified by words or phrases such as</w:t>
      </w:r>
      <w:r>
        <w:t xml:space="preserve"> </w:t>
      </w:r>
      <w:r>
        <w:t xml:space="preserve">“</w:t>
      </w:r>
      <w:r>
        <w:t xml:space="preserve">aim</w:t>
      </w:r>
      <w:r>
        <w:t xml:space="preserve">”</w:t>
      </w:r>
      <w:r>
        <w:t xml:space="preserve">,</w:t>
      </w:r>
      <w:r>
        <w:t xml:space="preserve"> </w:t>
      </w:r>
      <w:r>
        <w:t xml:space="preserve">“</w:t>
      </w:r>
      <w:r>
        <w:t xml:space="preserve">anticipate</w:t>
      </w:r>
      <w:r>
        <w:t xml:space="preserve">”</w:t>
      </w:r>
      <w:r>
        <w:t xml:space="preserve">,</w:t>
      </w:r>
      <w:r>
        <w:t xml:space="preserve"> </w:t>
      </w:r>
      <w:r>
        <w:t xml:space="preserve">“</w:t>
      </w:r>
      <w:r>
        <w:t xml:space="preserve">are likely</w:t>
      </w:r>
      <w:r>
        <w:t xml:space="preserve">”</w:t>
      </w:r>
      <w:r>
        <w:t xml:space="preserve">,</w:t>
      </w:r>
      <w:r>
        <w:t xml:space="preserve"> </w:t>
      </w:r>
      <w:r>
        <w:t xml:space="preserve">“</w:t>
      </w:r>
      <w:r>
        <w:t xml:space="preserve">believe</w:t>
      </w:r>
      <w:r>
        <w:t xml:space="preserve">”</w:t>
      </w:r>
      <w:r>
        <w:t xml:space="preserve">,</w:t>
      </w:r>
      <w:r>
        <w:t xml:space="preserve"> </w:t>
      </w:r>
      <w:r>
        <w:t xml:space="preserve">“</w:t>
      </w:r>
      <w:r>
        <w:t xml:space="preserve">continue</w:t>
      </w:r>
      <w:r>
        <w:t xml:space="preserve">”</w:t>
      </w:r>
      <w:r>
        <w:t xml:space="preserve">,</w:t>
      </w:r>
      <w:r>
        <w:t xml:space="preserve"> </w:t>
      </w:r>
      <w:r>
        <w:t xml:space="preserve">“</w:t>
      </w:r>
      <w:r>
        <w:t xml:space="preserve">can</w:t>
      </w:r>
      <w:r>
        <w:t xml:space="preserve">”</w:t>
      </w:r>
      <w:r>
        <w:t xml:space="preserve">,</w:t>
      </w:r>
      <w:r>
        <w:t xml:space="preserve"> </w:t>
      </w:r>
      <w:r>
        <w:t xml:space="preserve">“</w:t>
      </w:r>
      <w:r>
        <w:t xml:space="preserve">could</w:t>
      </w:r>
      <w:r>
        <w:t xml:space="preserve">”</w:t>
      </w:r>
      <w:r>
        <w:t xml:space="preserve">,</w:t>
      </w:r>
      <w:r>
        <w:t xml:space="preserve"> </w:t>
      </w:r>
      <w:r>
        <w:t xml:space="preserve">“</w:t>
      </w:r>
      <w:r>
        <w:t xml:space="preserve">expect</w:t>
      </w:r>
      <w:r>
        <w:t xml:space="preserve">”</w:t>
      </w:r>
      <w:r>
        <w:t xml:space="preserve">,</w:t>
      </w:r>
      <w:r>
        <w:t xml:space="preserve"> </w:t>
      </w:r>
      <w:r>
        <w:t xml:space="preserve">“</w:t>
      </w:r>
      <w:r>
        <w:t xml:space="preserve">estimate</w:t>
      </w:r>
      <w:r>
        <w:t xml:space="preserve">”</w:t>
      </w:r>
      <w:r>
        <w:t xml:space="preserve">,</w:t>
      </w:r>
      <w:r>
        <w:t xml:space="preserve"> </w:t>
      </w:r>
      <w:r>
        <w:t xml:space="preserve">“</w:t>
      </w:r>
      <w:r>
        <w:t xml:space="preserve">intend</w:t>
      </w:r>
      <w:r>
        <w:t xml:space="preserve">”</w:t>
      </w:r>
      <w:r>
        <w:t xml:space="preserve">,</w:t>
      </w:r>
      <w:r>
        <w:t xml:space="preserve"> </w:t>
      </w:r>
      <w:r>
        <w:t xml:space="preserve">“</w:t>
      </w:r>
      <w:r>
        <w:t xml:space="preserve">may</w:t>
      </w:r>
      <w:r>
        <w:t xml:space="preserve">”</w:t>
      </w:r>
      <w:r>
        <w:t xml:space="preserve">,</w:t>
      </w:r>
      <w:r>
        <w:t xml:space="preserve"> </w:t>
      </w:r>
      <w:r>
        <w:t xml:space="preserve">“</w:t>
      </w:r>
      <w:r>
        <w:t xml:space="preserve">likely</w:t>
      </w:r>
      <w:r>
        <w:t xml:space="preserve">”</w:t>
      </w:r>
      <w:r>
        <w:t xml:space="preserve">,</w:t>
      </w:r>
      <w:r>
        <w:t xml:space="preserve"> </w:t>
      </w:r>
      <w:r>
        <w:t xml:space="preserve">“</w:t>
      </w:r>
      <w:r>
        <w:t xml:space="preserve">objective</w:t>
      </w:r>
      <w:r>
        <w:t xml:space="preserve">”</w:t>
      </w:r>
      <w:r>
        <w:t xml:space="preserve">,</w:t>
      </w:r>
      <w:r>
        <w:t xml:space="preserve"> </w:t>
      </w:r>
      <w:r>
        <w:t xml:space="preserve">“</w:t>
      </w:r>
      <w:r>
        <w:t xml:space="preserve">plan</w:t>
      </w:r>
      <w:r>
        <w:t xml:space="preserve">”</w:t>
      </w:r>
      <w:r>
        <w:t xml:space="preserve">,</w:t>
      </w:r>
      <w:r>
        <w:t xml:space="preserve"> </w:t>
      </w:r>
      <w:r>
        <w:t xml:space="preserve">“</w:t>
      </w:r>
      <w:r>
        <w:t xml:space="preserve">project</w:t>
      </w:r>
      <w:r>
        <w:t xml:space="preserve">”</w:t>
      </w:r>
      <w:r>
        <w:t xml:space="preserve">,</w:t>
      </w:r>
      <w:r>
        <w:t xml:space="preserve"> </w:t>
      </w:r>
      <w:r>
        <w:t xml:space="preserve">“</w:t>
      </w:r>
      <w:r>
        <w:t xml:space="preserve">propose</w:t>
      </w:r>
      <w:r>
        <w:t xml:space="preserve">”</w:t>
      </w:r>
      <w:r>
        <w:t xml:space="preserve">,</w:t>
      </w:r>
      <w:r>
        <w:t xml:space="preserve"> </w:t>
      </w:r>
      <w:r>
        <w:t xml:space="preserve">“</w:t>
      </w:r>
      <w:r>
        <w:t xml:space="preserve">will continue</w:t>
      </w:r>
      <w:r>
        <w:t xml:space="preserve">”</w:t>
      </w:r>
      <w:r>
        <w:t xml:space="preserve">,</w:t>
      </w:r>
      <w:r>
        <w:t xml:space="preserve"> </w:t>
      </w:r>
      <w:r>
        <w:t xml:space="preserve">“</w:t>
      </w:r>
      <w:r>
        <w:t xml:space="preserve">seek to</w:t>
      </w:r>
      <w:r>
        <w:t xml:space="preserve">”</w:t>
      </w:r>
      <w:r>
        <w:t xml:space="preserve">,</w:t>
      </w:r>
      <w:r>
        <w:t xml:space="preserve"> </w:t>
      </w:r>
      <w:r>
        <w:t xml:space="preserve">“</w:t>
      </w:r>
      <w:r>
        <w:t xml:space="preserve">shall</w:t>
      </w:r>
      <w:r>
        <w:t xml:space="preserve">”</w:t>
      </w:r>
      <w:r>
        <w:t xml:space="preserve">,</w:t>
      </w:r>
      <w:r>
        <w:t xml:space="preserve"> </w:t>
      </w:r>
      <w:r>
        <w:t xml:space="preserve">“</w:t>
      </w:r>
      <w:r>
        <w:t xml:space="preserve">should</w:t>
      </w:r>
      <w:r>
        <w:t xml:space="preserve">”</w:t>
      </w:r>
      <w:r>
        <w:t xml:space="preserve">,</w:t>
      </w:r>
      <w:r>
        <w:t xml:space="preserve"> </w:t>
      </w:r>
      <w:r>
        <w:t xml:space="preserve">“</w:t>
      </w:r>
      <w:r>
        <w:t xml:space="preserve">will achieve</w:t>
      </w:r>
      <w:r>
        <w:t xml:space="preserve">”</w:t>
      </w:r>
      <w:r>
        <w:t xml:space="preserve">,</w:t>
      </w:r>
      <w:r>
        <w:t xml:space="preserve"> </w:t>
      </w:r>
      <w:r>
        <w:t xml:space="preserve">“</w:t>
      </w:r>
      <w:r>
        <w:t xml:space="preserve">will likely</w:t>
      </w:r>
      <w:r>
        <w:t xml:space="preserve">”</w:t>
      </w:r>
      <w:r>
        <w:t xml:space="preserve">,</w:t>
      </w:r>
      <w:r>
        <w:t xml:space="preserve"> </w:t>
      </w:r>
      <w:r>
        <w:t xml:space="preserve">“</w:t>
      </w:r>
      <w:r>
        <w:t xml:space="preserve">will pursue</w:t>
      </w:r>
      <w:r>
        <w:t xml:space="preserve">”</w:t>
      </w:r>
      <w:r>
        <w:t xml:space="preserve"> </w:t>
      </w:r>
      <w:r>
        <w:t xml:space="preserve">or other words or phrases of similar import. Similarly, statements that describe the strategies, objectives, plans or goals of our Company are also forward-looking statements. All statements regarding our expected financial conditions, results of operations, business plans and prospects are forward-looking statements. These forward-looking statements include statements as to our business strategy, plans, revenue, and profitability (including, without limitation, any financial or operating projections or forecasts) and other matters discussed in this Red Herring Prospectus that are not historical facts. However, these are not the exclusive means of identifying forward-looking statements.</w:t>
      </w:r>
    </w:p>
    <w:p>
      <w:pPr>
        <w:pStyle w:val="BodyText"/>
      </w:pPr>
      <w:r>
        <w:t xml:space="preserve">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 forward-looking statement. This may be due to risks or uncertainties associated with our expectations with respect to, but not limited to, regulatory changes pertaining to the industries we cater and our ability to respond to them, our ability to successfully implement our strategies, our growth and expansion, technological changes, our exposure to market risks, general economic and political conditions in India and globally, which have an impact on our business activities or investments, the monetary and fiscal policies of India, inflation, deflation, unanticipated turbulence in interest rates, foreign exchange rates, equity prices or other rates or prices, the performance of the financial markets in India and globally, changes in domestic laws, regulations and taxes, changes in competition in our industry and incidence of any natural calamities and/or acts of violence.</w:t>
      </w:r>
    </w:p>
    <w:p>
      <w:pPr>
        <w:pStyle w:val="BodyText"/>
      </w:pPr>
      <w:r>
        <w:t xml:space="preserve">Certain important factors that could cause actual results to differ materially from our expectations include, but are not lim ited to, the following:</w:t>
      </w:r>
    </w:p>
    <w:p>
      <w:pPr>
        <w:pStyle w:val="BodyText"/>
      </w:pPr>
      <w:r>
        <w:t xml:space="preserve">Reliance on our key customers;</w:t>
      </w:r>
    </w:p>
    <w:p>
      <w:pPr>
        <w:pStyle w:val="BodyText"/>
      </w:pPr>
      <w:r>
        <w:t xml:space="preserve">Reliance on our key suppliers;</w:t>
      </w:r>
    </w:p>
    <w:p>
      <w:pPr>
        <w:pStyle w:val="BodyText"/>
      </w:pPr>
      <w:r>
        <w:t xml:space="preserve">Price and availability of primary raw materials i.e. copper and aluminium, and insulating materials such as enamel and paper;</w:t>
      </w:r>
    </w:p>
    <w:p>
      <w:pPr>
        <w:pStyle w:val="BodyText"/>
      </w:pPr>
      <w:r>
        <w:t xml:space="preserve">Reliance on the power sector (generation, transmission and distribution) industry;</w:t>
      </w:r>
    </w:p>
    <w:p>
      <w:pPr>
        <w:pStyle w:val="BodyText"/>
      </w:pPr>
      <w:r>
        <w:t xml:space="preserve">Reliance on the sale of our key product segment i.e., specialized magnet winding wires;</w:t>
      </w:r>
    </w:p>
    <w:p>
      <w:pPr>
        <w:pStyle w:val="BodyText"/>
      </w:pPr>
      <w:r>
        <w:t xml:space="preserve">Delay in or inability of the vendors to provide the equipment in a timely manner in relation to the capital expenditure to be incurred for certain of our proposed objects of the Offer;</w:t>
      </w:r>
    </w:p>
    <w:p>
      <w:pPr>
        <w:pStyle w:val="BodyText"/>
      </w:pPr>
      <w:r>
        <w:t xml:space="preserve">Any unscheduled, unplanned or prolonged disruption, slowdown or shutdown of our manufacturing facilities;</w:t>
      </w:r>
    </w:p>
    <w:p>
      <w:pPr>
        <w:pStyle w:val="BodyText"/>
      </w:pPr>
      <w:r>
        <w:t xml:space="preserve">Any delays or cost overruns in the completion of the construction of the Supa Facility;</w:t>
      </w:r>
    </w:p>
    <w:p>
      <w:pPr>
        <w:pStyle w:val="BodyText"/>
      </w:pPr>
      <w:r>
        <w:t xml:space="preserve">Product defect issues or failure by us or our raw materials suppliers to comply with the strict quality standards and requirements applicable to our business operations; and</w:t>
      </w:r>
    </w:p>
    <w:p>
      <w:pPr>
        <w:pStyle w:val="BodyText"/>
      </w:pPr>
      <w:r>
        <w:t xml:space="preserve">Reliance on exports and any change in law, regulations and policies of foreign jurisdictions where we sell our products or plan to sell our products.</w:t>
      </w:r>
    </w:p>
    <w:p>
      <w:pPr>
        <w:pStyle w:val="BodyText"/>
      </w:pPr>
      <w:r>
        <w:t xml:space="preserve">For further details of factors that could cause our actual results to differ from the expectations, see</w:t>
      </w:r>
      <w:r>
        <w:t xml:space="preserve"> </w:t>
      </w:r>
      <w:r>
        <w:t xml:space="preserve">“</w:t>
      </w:r>
      <w:r>
        <w:t xml:space="preserve">Risk Factors</w:t>
      </w:r>
      <w:r>
        <w:t xml:space="preserve">”</w:t>
      </w:r>
      <w:r>
        <w:t xml:space="preserve">,</w:t>
      </w:r>
      <w:r>
        <w:t xml:space="preserve"> </w:t>
      </w:r>
      <w:r>
        <w:t xml:space="preserve">“</w:t>
      </w:r>
      <w:r>
        <w:t xml:space="preserve">Our Business</w:t>
      </w:r>
      <w:r>
        <w:t xml:space="preserve">”</w:t>
      </w:r>
      <w:r>
        <w:t xml:space="preserve"> </w:t>
      </w:r>
      <w:r>
        <w:t xml:space="preserve">and</w:t>
      </w:r>
      <w:r>
        <w:t xml:space="preserve"> </w:t>
      </w:r>
      <w:r>
        <w:t xml:space="preserve">“</w:t>
      </w:r>
      <w:r>
        <w:t xml:space="preserve">Management’s Discussion and Analysis of Financial Position and Results of Operations</w:t>
      </w:r>
      <w:r>
        <w:t xml:space="preserve">”</w:t>
      </w:r>
      <w:r>
        <w:t xml:space="preserve"> </w:t>
      </w:r>
      <w:r>
        <w:t xml:space="preserve">on pages 28, 211 and 356, respectively.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 revise any statements reflecting circumstances arising after the date hereof or to reflect the occurrence of underlying events, even if the underlying assumptions do not come to fruition.</w:t>
      </w:r>
    </w:p>
    <w:p>
      <w:pPr>
        <w:pStyle w:val="BodyText"/>
      </w:pPr>
      <w:r>
        <w:t xml:space="preserve">In accordance with the SEBI ICDR Regulations, our Company will ensure that investors in India are informed of material developments pertaining to our Company from the date of this Red Herring Prospectus until the time of the grant of listing 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 Herring Prospectus and the Prospectus until the time of the grant of listing and trading permission by the Stock Exchanges for the Offer, with respect to their Vandelay Industries. Only the statements and undertakings which are specifically confirmed or undertaken by each of the Promoter Selling Shareholders about or in relation to themselves as Promoter Selling Shareholders and their respective portion of the Offered Shares, in this Vandelay Industries shall be deemed to be statements and undertakings made by such Promoter Selling Shareholder.</w:t>
      </w:r>
    </w:p>
    <w:p>
      <w:pPr>
        <w:pStyle w:val="BodyText"/>
      </w:pPr>
      <w:r>
        <w:t xml:space="preserve">SUMMARY OF THE OFFER DOCUMENT</w:t>
      </w:r>
    </w:p>
    <w:p>
      <w:pPr>
        <w:pStyle w:val="BodyText"/>
      </w:pPr>
      <w:r>
        <w:t xml:space="preserve">This section is a general summary of certain disclosures included in this Red Herring Prospectus and is not exhaustive, nor does it purport to contain a summary of all the disclosures in this Red Herring Prospectus or all details relevant to prospective investors. This summary should be read in conjunction with, and is qualified in its entirety by, the more detailed information appearing elsewhere in this Red Herring Prospectus, including the sections</w:t>
      </w:r>
      <w:r>
        <w:t xml:space="preserve"> </w:t>
      </w:r>
      <w:r>
        <w:t xml:space="preserve">“</w:t>
      </w:r>
      <w:r>
        <w:t xml:space="preserve">Risk Factors</w:t>
      </w:r>
      <w:r>
        <w:t xml:space="preserve">”</w:t>
      </w:r>
      <w:r>
        <w:t xml:space="preserve">,</w:t>
      </w:r>
      <w:r>
        <w:t xml:space="preserve"> </w:t>
      </w:r>
      <w:r>
        <w:t xml:space="preserve">“</w:t>
      </w:r>
      <w:r>
        <w:t xml:space="preserve">Our Business</w:t>
      </w:r>
      <w:r>
        <w:t xml:space="preserve">”</w:t>
      </w:r>
      <w:r>
        <w:t xml:space="preserve">,</w:t>
      </w:r>
      <w:r>
        <w:t xml:space="preserve"> </w:t>
      </w:r>
      <w:r>
        <w:t xml:space="preserve">“</w:t>
      </w:r>
      <w:r>
        <w:t xml:space="preserve">Industry Overview</w:t>
      </w:r>
      <w:r>
        <w:t xml:space="preserve">”</w:t>
      </w:r>
      <w:r>
        <w:t xml:space="preserve">,</w:t>
      </w:r>
      <w:r>
        <w:t xml:space="preserve"> </w:t>
      </w:r>
      <w:r>
        <w:t xml:space="preserve">“</w:t>
      </w:r>
      <w:r>
        <w:t xml:space="preserve">Capital Structure</w:t>
      </w:r>
      <w:r>
        <w:t xml:space="preserve">”</w:t>
      </w:r>
      <w:r>
        <w:t xml:space="preserve">,</w:t>
      </w:r>
      <w:r>
        <w:t xml:space="preserve"> </w:t>
      </w:r>
      <w:r>
        <w:t xml:space="preserve">“</w:t>
      </w:r>
      <w:r>
        <w:t xml:space="preserve">The Offer</w:t>
      </w:r>
      <w:r>
        <w:t xml:space="preserve">”</w:t>
      </w:r>
      <w:r>
        <w:t xml:space="preserve">,</w:t>
      </w:r>
      <w:r>
        <w:t xml:space="preserve"> </w:t>
      </w:r>
      <w:r>
        <w:t xml:space="preserve">“</w:t>
      </w:r>
      <w:r>
        <w:t xml:space="preserve">Restated Financial Statements</w:t>
      </w:r>
      <w:r>
        <w:t xml:space="preserve">”</w:t>
      </w:r>
      <w:r>
        <w:t xml:space="preserve">,</w:t>
      </w:r>
      <w:r>
        <w:t xml:space="preserve"> </w:t>
      </w:r>
      <w:r>
        <w:t xml:space="preserve">“</w:t>
      </w:r>
      <w:r>
        <w:t xml:space="preserve">Objects of the Offer</w:t>
      </w:r>
      <w:r>
        <w:t xml:space="preserve">”</w:t>
      </w:r>
      <w:r>
        <w:t xml:space="preserve">,</w:t>
      </w:r>
      <w:r>
        <w:t xml:space="preserve"> </w:t>
      </w:r>
      <w:r>
        <w:t xml:space="preserve">“</w:t>
      </w:r>
      <w:r>
        <w:t xml:space="preserve">Management’s Discussion and Analysis of Financial Position and Results of Operations</w:t>
      </w:r>
      <w:r>
        <w:t xml:space="preserve">”</w:t>
      </w:r>
      <w:r>
        <w:t xml:space="preserve"> </w:t>
      </w:r>
      <w:r>
        <w:t xml:space="preserve">and</w:t>
      </w:r>
      <w:r>
        <w:t xml:space="preserve"> </w:t>
      </w:r>
      <w:r>
        <w:t xml:space="preserve">“</w:t>
      </w:r>
      <w:r>
        <w:t xml:space="preserve">Outstanding Litigation and Material Developments</w:t>
      </w:r>
      <w:r>
        <w:t xml:space="preserve">”</w:t>
      </w:r>
      <w:r>
        <w:t xml:space="preserve"> </w:t>
      </w:r>
      <w:r>
        <w:t xml:space="preserve">on pages 28, 211, 137, 84, 67, 280, 106, 356, 388, respectively of this Red Herring Prospectus.</w:t>
      </w:r>
    </w:p>
    <w:p>
      <w:pPr>
        <w:pStyle w:val="BodyText"/>
      </w:pPr>
      <w:r>
        <w:t xml:space="preserve">Primary business of our Company</w:t>
      </w:r>
    </w:p>
    <w:p>
      <w:pPr>
        <w:pStyle w:val="BodyText"/>
      </w:pPr>
      <w:r>
        <w:t xml:space="preserve">We are the third largest manufacturer of magnet winding wires in India in terms of production capacity in Fiscal 2025 (Source: CARE Report). We are also the largest exporter of magnet winding wires from India in terms of export revenues in Fiscal 2025 (Source: CARE Report). Our 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Text"/>
      </w:pPr>
      <w:r>
        <w:t xml:space="preserve">For further details, see</w:t>
      </w:r>
      <w:r>
        <w:t xml:space="preserve"> </w:t>
      </w:r>
      <w:r>
        <w:t xml:space="preserve">“</w:t>
      </w:r>
      <w:r>
        <w:t xml:space="preserve">Our Business</w:t>
      </w:r>
      <w:r>
        <w:t xml:space="preserve">”</w:t>
      </w:r>
      <w:r>
        <w:t xml:space="preserve"> </w:t>
      </w:r>
      <w:r>
        <w:t xml:space="preserve">on page 211.</w:t>
      </w:r>
    </w:p>
    <w:p>
      <w:pPr>
        <w:pStyle w:val="BodyText"/>
      </w:pPr>
      <w:r>
        <w:t xml:space="preserve">Summary of industry in which our Company operates</w:t>
      </w:r>
    </w:p>
    <w:p>
      <w:pPr>
        <w:pStyle w:val="BodyText"/>
      </w:pPr>
      <w:r>
        <w:t xml:space="preserve">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 electric wires and cables market was valued at USD 19.68 billion in CY24, reflecting a CAGR of 6.08% from CY19 to CY24. The market is projected to reach USD 29.85 billion by CY28, expanding at a CAGR of 10.98% from CY24 to CY28.</w:t>
      </w:r>
    </w:p>
    <w:p>
      <w:pPr>
        <w:pStyle w:val="BodyText"/>
      </w:pPr>
      <w:r>
        <w:t xml:space="preserve">For further details, see</w:t>
      </w:r>
      <w:r>
        <w:t xml:space="preserve"> </w:t>
      </w:r>
      <w:r>
        <w:t xml:space="preserve">“</w:t>
      </w:r>
      <w:r>
        <w:t xml:space="preserve">Industry Overview</w:t>
      </w:r>
      <w:r>
        <w:t xml:space="preserve">”</w:t>
      </w:r>
      <w:r>
        <w:t xml:space="preserve"> </w:t>
      </w:r>
      <w:r>
        <w:t xml:space="preserve">on page 137.</w:t>
      </w:r>
    </w:p>
    <w:p>
      <w:pPr>
        <w:pStyle w:val="BodyText"/>
      </w:pPr>
      <w:r>
        <w:t xml:space="preserve">Our Promoters</w:t>
      </w:r>
    </w:p>
    <w:p>
      <w:pPr>
        <w:pStyle w:val="BodyText"/>
      </w:pPr>
      <w:r>
        <w:t xml:space="preserve">Kushal Subbayya Hegde, Mary Wilson, Mary Lee, Mary Smith, Umbrella Ltd, Globex Inc, Wonka Ltd, Acme Corp, Hooli Inc, Soylent Corp, Vandelay Industries and Waterloo Industrial Park VI Private Limited are the Promoters of our Company.</w:t>
      </w:r>
    </w:p>
    <w:p>
      <w:pPr>
        <w:pStyle w:val="BodyText"/>
      </w:pPr>
      <w:r>
        <w:t xml:space="preserve">For further details, see</w:t>
      </w:r>
      <w:r>
        <w:t xml:space="preserve"> </w:t>
      </w:r>
      <w:r>
        <w:t xml:space="preserve">“</w:t>
      </w:r>
      <w:r>
        <w:t xml:space="preserve">Our Promoters and Promoter Group</w:t>
      </w:r>
      <w:r>
        <w:t xml:space="preserve">”</w:t>
      </w:r>
      <w:r>
        <w:t xml:space="preserve"> </w:t>
      </w:r>
      <w:r>
        <w:t xml:space="preserve">on page 269.</w:t>
      </w:r>
    </w:p>
    <w:p>
      <w:pPr>
        <w:pStyle w:val="BodyText"/>
      </w:pPr>
      <w:r>
        <w:t xml:space="preserve">The Offer</w:t>
      </w:r>
    </w:p>
    <w:p>
      <w:pPr>
        <w:pStyle w:val="BodyText"/>
      </w:pPr>
      <w:r>
        <w:t xml:space="preserve">The following table summarizes the details of the Offer:</w:t>
      </w:r>
    </w:p>
    <w:tbl>
      <w:tblPr>
        <w:tblStyle w:val="Table"/>
        <w:tblW w:type="pct" w:w="5000"/>
        <w:tblLook w:firstRow="0" w:lastRow="0" w:firstColumn="0" w:lastColumn="0" w:noHBand="0" w:noVBand="0" w:val="0000"/>
        <w:jc w:val="start"/>
      </w:tblPr>
      <w:tblGrid>
        <w:gridCol w:w="3960"/>
        <w:gridCol w:w="3960"/>
      </w:tblGrid>
      <w:tr>
        <w:tc>
          <w:tcPr/>
          <w:p>
            <w:pPr>
              <w:pStyle w:val="Compact"/>
              <w:jc w:val="center"/>
            </w:pPr>
            <w:r>
              <w:t xml:space="preserve">Offer(1)</w:t>
            </w:r>
          </w:p>
        </w:tc>
        <w:tc>
          <w:tcPr/>
          <w:p>
            <w:pPr>
              <w:pStyle w:val="Compact"/>
              <w:jc w:val="center"/>
            </w:pPr>
            <w:r>
              <w:t xml:space="preserve">Up to [●] Equity Shares of face value of ₹5 each for cash at price of ₹[●] per Stark Industries (including a premium of [●] per Equity Share), aggregating up to ₹7,100.00 million</w:t>
            </w:r>
          </w:p>
        </w:tc>
      </w:tr>
      <w:tr>
        <w:tc>
          <w:tcPr/>
          <w:p>
            <w:pPr>
              <w:pStyle w:val="Compact"/>
              <w:jc w:val="center"/>
            </w:pPr>
            <w:r>
              <w:t xml:space="preserve">Of which</w:t>
            </w:r>
          </w:p>
        </w:tc>
        <w:tc>
          <w:tcPr/>
          <w:p>
            <w:pPr>
              <w:pStyle w:val="Compact"/>
            </w:pPr>
          </w:p>
        </w:tc>
      </w:tr>
      <w:tr>
        <w:tc>
          <w:tcPr/>
          <w:p>
            <w:pPr>
              <w:pStyle w:val="Compact"/>
              <w:jc w:val="center"/>
            </w:pPr>
            <w:r>
              <w:t xml:space="preserve">Fresh Issue(1)</w:t>
            </w:r>
          </w:p>
        </w:tc>
        <w:tc>
          <w:tcPr/>
          <w:p>
            <w:pPr>
              <w:pStyle w:val="Compact"/>
              <w:jc w:val="center"/>
            </w:pPr>
            <w:r>
              <w:t xml:space="preserve">Up to [●] Equity Shares of face value of ₹5 each aggregating up to ₹4,200.00 million</w:t>
            </w:r>
          </w:p>
        </w:tc>
      </w:tr>
      <w:tr>
        <w:tc>
          <w:tcPr/>
          <w:p>
            <w:pPr>
              <w:pStyle w:val="Compact"/>
              <w:jc w:val="center"/>
            </w:pPr>
            <w:r>
              <w:t xml:space="preserve">Offer for Sale(2)</w:t>
            </w:r>
          </w:p>
        </w:tc>
        <w:tc>
          <w:tcPr/>
          <w:p>
            <w:pPr>
              <w:pStyle w:val="Compact"/>
              <w:jc w:val="center"/>
            </w:pPr>
            <w:r>
              <w:t xml:space="preserve">Up to [●] Equity Shares of face value of ₹5 each aggregating up to ₹2,900.00 million</w:t>
            </w:r>
          </w:p>
        </w:tc>
      </w:tr>
    </w:tbl>
    <w:p>
      <w:pPr>
        <w:pStyle w:val="BodyText"/>
      </w:pPr>
      <w:r>
        <w:t xml:space="preserve">The Offer has been authorized pursuant to the resolution passed by our Board dated May 6, 2025 and the Fresh Issue has been authorized by our Shareholders pursuant to a special resolution passed on May 6, 2025.</w:t>
      </w:r>
    </w:p>
    <w:p>
      <w:pPr>
        <w:pStyle w:val="BodyText"/>
      </w:pPr>
      <w:r>
        <w:t xml:space="preserve">Each of the Promoter Selling Shareholders, severally and not jointly, confirms that its portion of the Offered Shares are eligible for being offered for sale in terms of Regulation 8 of the SEBI ICDR Regulations. Each Promoter Selling Shareholder has, severally and not jointly, consented to the sale of its portion of the Offered Shares in the Offer for Sale. For further details on the authorisation of the Promoter Selling Shareholders in relation to the Offered Shares, see</w:t>
      </w:r>
      <w:r>
        <w:t xml:space="preserve"> </w:t>
      </w:r>
      <w:r>
        <w:t xml:space="preserve">“</w:t>
      </w:r>
      <w:r>
        <w:t xml:space="preserve">Other Regulatory and Statutory Disclosures – Authority for the Offer</w:t>
      </w:r>
      <w:r>
        <w:t xml:space="preserve">”</w:t>
      </w:r>
      <w:r>
        <w:t xml:space="preserve"> </w:t>
      </w:r>
      <w:r>
        <w:t xml:space="preserve">on page 398.</w:t>
      </w:r>
    </w:p>
    <w:p>
      <w:pPr>
        <w:pStyle w:val="BodyText"/>
      </w:pPr>
      <w:r>
        <w:t xml:space="preserve">The Offer shall constitute [●]% of the post-Offer paid-up equity share capital of our Company. For further details, see</w:t>
      </w:r>
      <w:r>
        <w:t xml:space="preserve"> </w:t>
      </w:r>
      <w:r>
        <w:t xml:space="preserve">“</w:t>
      </w:r>
      <w:r>
        <w:t xml:space="preserve">The Offer</w:t>
      </w:r>
      <w:r>
        <w:t xml:space="preserve">”</w:t>
      </w:r>
      <w:r>
        <w:t xml:space="preserve"> </w:t>
      </w:r>
      <w:r>
        <w:t xml:space="preserve">and</w:t>
      </w:r>
      <w:r>
        <w:t xml:space="preserve"> </w:t>
      </w:r>
      <w:r>
        <w:t xml:space="preserve">“</w:t>
      </w:r>
      <w:r>
        <w:t xml:space="preserve">Offer Structure</w:t>
      </w:r>
      <w:r>
        <w:t xml:space="preserve">”</w:t>
      </w:r>
      <w:r>
        <w:t xml:space="preserve"> </w:t>
      </w:r>
      <w:r>
        <w:t xml:space="preserve">on pages 67 and 417, respectively.</w:t>
      </w:r>
    </w:p>
    <w:p>
      <w:pPr>
        <w:pStyle w:val="BodyText"/>
      </w:pPr>
      <w:r>
        <w:t xml:space="preserve">Objects of the Offer</w:t>
      </w:r>
    </w:p>
    <w:p>
      <w:pPr>
        <w:pStyle w:val="BodyText"/>
      </w:pPr>
      <w:r>
        <w:t xml:space="preserve">The Net Proceeds are proposed to be utilised towards the following Objects:</w:t>
      </w:r>
    </w:p>
    <w:p>
      <w:pPr>
        <w:pStyle w:val="BodyText"/>
      </w:pPr>
      <w:r>
        <w:t xml:space="preserve">(₹ in million)</w:t>
      </w:r>
    </w:p>
    <w:tbl>
      <w:tblPr>
        <w:tblStyle w:val="Table"/>
        <w:tblW w:type="pct" w:w="5000"/>
        <w:tblLook w:firstRow="0" w:lastRow="0" w:firstColumn="0" w:lastColumn="0" w:noHBand="0" w:noVBand="0" w:val="0000"/>
        <w:jc w:val="start"/>
      </w:tblPr>
      <w:tblGrid>
        <w:gridCol w:w="3960"/>
        <w:gridCol w:w="3960"/>
      </w:tblGrid>
      <w:tr>
        <w:tc>
          <w:tcPr/>
          <w:p>
            <w:pPr>
              <w:pStyle w:val="Compact"/>
              <w:jc w:val="center"/>
            </w:pPr>
            <w:r>
              <w:t xml:space="preserve">Particulars</w:t>
            </w:r>
          </w:p>
        </w:tc>
        <w:tc>
          <w:tcPr/>
          <w:p>
            <w:pPr>
              <w:pStyle w:val="Compact"/>
              <w:jc w:val="center"/>
            </w:pPr>
            <w:r>
              <w:t xml:space="preserve">Estimated Amount</w:t>
            </w:r>
          </w:p>
        </w:tc>
      </w:tr>
      <w:tr>
        <w:tc>
          <w:tcPr/>
          <w:p>
            <w:pPr>
              <w:pStyle w:val="Compact"/>
              <w:jc w:val="center"/>
            </w:pPr>
            <w:r>
              <w:t xml:space="preserve">Prepayment and/or repayment, in full or in part, of all or a portion of certain outstanding borrowings availed by our Company</w:t>
            </w:r>
          </w:p>
        </w:tc>
        <w:tc>
          <w:tcPr/>
          <w:p>
            <w:pPr>
              <w:pStyle w:val="Compact"/>
              <w:jc w:val="center"/>
            </w:pPr>
            <w:r>
              <w:t xml:space="preserve">2,259.77</w:t>
            </w:r>
          </w:p>
        </w:tc>
      </w:tr>
      <w:tr>
        <w:tc>
          <w:tcPr/>
          <w:p>
            <w:pPr>
              <w:pStyle w:val="Compact"/>
              <w:jc w:val="center"/>
            </w:pPr>
            <w:r>
              <w:t xml:space="preserve">Funding the capital expenditure requirements of our Company towards:purchasing and setting up of new machinery for expansion at our Chris Parker and setting up of new machinery at Unit 2 in Chakan, Pune in Maharashtra</w:t>
            </w:r>
          </w:p>
        </w:tc>
        <w:tc>
          <w:tcPr/>
          <w:p>
            <w:pPr>
              <w:pStyle w:val="Compact"/>
              <w:jc w:val="center"/>
            </w:pPr>
            <w:r>
              <w:t xml:space="preserve">870.17</w:t>
            </w:r>
          </w:p>
        </w:tc>
      </w:tr>
      <w:tr>
        <w:tc>
          <w:tcPr/>
          <w:p>
            <w:pPr>
              <w:pStyle w:val="Compact"/>
              <w:jc w:val="center"/>
            </w:pPr>
            <w:r>
              <w:t xml:space="preserve">Funding the capital expenditure requirements of our Company towards purchasing and setting up of a rooftop solar power plant for power generation at our Mary Walker</w:t>
            </w:r>
          </w:p>
        </w:tc>
        <w:tc>
          <w:tcPr/>
          <w:p>
            <w:pPr>
              <w:pStyle w:val="Compact"/>
              <w:jc w:val="center"/>
            </w:pPr>
            <w:r>
              <w:t xml:space="preserve">88.28</w:t>
            </w:r>
          </w:p>
        </w:tc>
      </w:tr>
      <w:tr>
        <w:tc>
          <w:tcPr/>
          <w:p>
            <w:pPr>
              <w:pStyle w:val="Compact"/>
              <w:jc w:val="center"/>
            </w:pPr>
            <w:r>
              <w:t xml:space="preserve">General corporate purposes(1)</w:t>
            </w:r>
          </w:p>
        </w:tc>
        <w:tc>
          <w:tcPr/>
          <w:p>
            <w:pPr>
              <w:pStyle w:val="Compact"/>
              <w:jc w:val="center"/>
            </w:pPr>
            <w:r>
              <w:t xml:space="preserve">[●]</w:t>
            </w:r>
          </w:p>
        </w:tc>
      </w:tr>
      <w:tr>
        <w:tc>
          <w:tcPr/>
          <w:p>
            <w:pPr>
              <w:pStyle w:val="Compact"/>
              <w:jc w:val="center"/>
            </w:pPr>
            <w:r>
              <w:t xml:space="preserve">Net Proceeds(1)</w:t>
            </w:r>
          </w:p>
        </w:tc>
        <w:tc>
          <w:tcPr/>
          <w:p>
            <w:pPr>
              <w:pStyle w:val="Compact"/>
              <w:jc w:val="center"/>
            </w:pPr>
            <w:r>
              <w:t xml:space="preserve">[●]</w:t>
            </w:r>
          </w:p>
        </w:tc>
      </w:tr>
    </w:tbl>
    <w:p>
      <w:pPr>
        <w:numPr>
          <w:ilvl w:val="0"/>
          <w:numId w:val="1003"/>
        </w:numPr>
        <w:pStyle w:val="Compact"/>
      </w:pPr>
      <w:r>
        <w:t xml:space="preserve">To be finalised upon determination of the Offer Price and updated in the Prospectus prior to filing with the RoC. The amount utilised for general corporate purposes shall not exceed 25% of the Gross Proceeds.</w:t>
      </w:r>
    </w:p>
    <w:p>
      <w:pPr>
        <w:pStyle w:val="FirstParagraph"/>
      </w:pPr>
      <w:r>
        <w:t xml:space="preserve">For further information, see</w:t>
      </w:r>
      <w:r>
        <w:t xml:space="preserve"> </w:t>
      </w:r>
      <w:r>
        <w:t xml:space="preserve">“</w:t>
      </w:r>
      <w:r>
        <w:t xml:space="preserve">Objects of the Offer</w:t>
      </w:r>
      <w:r>
        <w:t xml:space="preserve">”</w:t>
      </w:r>
      <w:r>
        <w:t xml:space="preserve"> </w:t>
      </w:r>
      <w:r>
        <w:t xml:space="preserve">on page 106.</w:t>
      </w:r>
    </w:p>
    <w:p>
      <w:pPr>
        <w:pStyle w:val="BodyText"/>
      </w:pPr>
      <w:r>
        <w:t xml:space="preserve">Aggregate pre-Offer and post-Offer shareholding of our Promoters, the members of our Umbrella Ltd, the Promoter Selling Shareholders of our Company</w:t>
      </w:r>
    </w:p>
    <w:p>
      <w:pPr>
        <w:pStyle w:val="BodyText"/>
      </w:pPr>
      <w:r>
        <w:t xml:space="preserve">The aggregate pre-Offer and post-Offer shareholding of our Promoters, the members of our Umbrella Ltd and Promoter Selling Shareholders as on the date of this Red Herring Prospectus is set out below:</w:t>
      </w:r>
    </w:p>
    <w:tbl>
      <w:tblPr>
        <w:tblStyle w:val="Table"/>
        <w:tblW w:type="pct" w:w="5000"/>
        <w:tblLook w:firstRow="0" w:lastRow="0" w:firstColumn="0" w:lastColumn="0" w:noHBand="0" w:noVBand="0" w:val="0000"/>
        <w:jc w:val="start"/>
      </w:tblPr>
      <w:tblGrid>
        <w:gridCol w:w="1320"/>
        <w:gridCol w:w="1320"/>
        <w:gridCol w:w="1320"/>
        <w:gridCol w:w="1320"/>
        <w:gridCol w:w="1320"/>
        <w:gridCol w:w="1320"/>
      </w:tblGrid>
      <w:tr>
        <w:tc>
          <w:tcPr/>
          <w:p>
            <w:pPr>
              <w:pStyle w:val="Compact"/>
              <w:jc w:val="center"/>
            </w:pPr>
            <w:r>
              <w:t xml:space="preserve">S.No.</w:t>
            </w:r>
          </w:p>
        </w:tc>
        <w:tc>
          <w:tcPr/>
          <w:p>
            <w:pPr>
              <w:pStyle w:val="Compact"/>
              <w:jc w:val="center"/>
            </w:pPr>
            <w:r>
              <w:t xml:space="preserve">Name of the Shareholder</w:t>
            </w:r>
          </w:p>
        </w:tc>
        <w:tc>
          <w:tcPr/>
          <w:p>
            <w:pPr>
              <w:pStyle w:val="Compact"/>
              <w:jc w:val="center"/>
            </w:pPr>
            <w:r>
              <w:t xml:space="preserve">Pre-Offer equity share capital</w:t>
            </w:r>
          </w:p>
        </w:tc>
        <w:tc>
          <w:tcPr/>
          <w:p>
            <w:pPr>
              <w:pStyle w:val="Compact"/>
              <w:jc w:val="center"/>
            </w:pPr>
            <w:r>
              <w:t xml:space="preserve">Post-Offer equity share capital^</w:t>
            </w:r>
          </w:p>
        </w:tc>
        <w:tc>
          <w:tcPr/>
          <w:p>
            <w:pPr>
              <w:pStyle w:val="Compact"/>
            </w:pPr>
          </w:p>
        </w:tc>
        <w:tc>
          <w:tcPr/>
          <w:p>
            <w:pPr>
              <w:pStyle w:val="Compact"/>
            </w:pPr>
          </w:p>
        </w:tc>
      </w:tr>
      <w:tr>
        <w:tc>
          <w:tcPr/>
          <w:p>
            <w:pPr>
              <w:pStyle w:val="Compact"/>
              <w:jc w:val="center"/>
            </w:pPr>
            <w:r>
              <w:t xml:space="preserve">No. of Globex Inc of face value of ₹5 each</w:t>
            </w:r>
          </w:p>
        </w:tc>
        <w:tc>
          <w:tcPr/>
          <w:p>
            <w:pPr>
              <w:pStyle w:val="Compact"/>
              <w:jc w:val="center"/>
            </w:pPr>
            <w:r>
              <w:t xml:space="preserve">% of paid-up Stark Industries capital</w:t>
            </w:r>
          </w:p>
        </w:tc>
        <w:tc>
          <w:tcPr/>
          <w:p>
            <w:pPr>
              <w:pStyle w:val="Compact"/>
              <w:jc w:val="center"/>
            </w:pPr>
            <w:r>
              <w:t xml:space="preserve">No. of Globex Inc of face value of ₹5 each</w:t>
            </w:r>
          </w:p>
        </w:tc>
        <w:tc>
          <w:tcPr/>
          <w:p>
            <w:pPr>
              <w:pStyle w:val="Compact"/>
              <w:jc w:val="center"/>
            </w:pPr>
            <w:r>
              <w:t xml:space="preserve">% of paid-up Stark Industries capital</w:t>
            </w:r>
          </w:p>
        </w:tc>
        <w:tc>
          <w:tcPr/>
          <w:p>
            <w:pPr>
              <w:pStyle w:val="Compact"/>
            </w:pPr>
          </w:p>
        </w:tc>
        <w:tc>
          <w:tcPr/>
          <w:p>
            <w:pPr>
              <w:pStyle w:val="Compact"/>
            </w:pPr>
          </w:p>
        </w:tc>
      </w:tr>
      <w:tr>
        <w:tc>
          <w:tcPr/>
          <w:p>
            <w:pPr>
              <w:pStyle w:val="Compact"/>
              <w:jc w:val="center"/>
            </w:pPr>
            <w:r>
              <w:t xml:space="preserve">Promoters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1.</w:t>
            </w:r>
          </w:p>
        </w:tc>
        <w:tc>
          <w:tcPr/>
          <w:p>
            <w:pPr>
              <w:pStyle w:val="Compact"/>
              <w:jc w:val="center"/>
            </w:pPr>
            <w:r>
              <w:t xml:space="preserve">Sam Wilson Hegde*</w:t>
            </w:r>
          </w:p>
        </w:tc>
        <w:tc>
          <w:tcPr/>
          <w:p>
            <w:pPr>
              <w:pStyle w:val="Compact"/>
              <w:jc w:val="center"/>
            </w:pPr>
            <w:r>
              <w:t xml:space="preserve">26,704,570</w:t>
            </w:r>
          </w:p>
        </w:tc>
        <w:tc>
          <w:tcPr/>
          <w:p>
            <w:pPr>
              <w:pStyle w:val="Compact"/>
              <w:jc w:val="center"/>
            </w:pPr>
            <w:r>
              <w:t xml:space="preserve">47.00%</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2.</w:t>
            </w:r>
          </w:p>
        </w:tc>
        <w:tc>
          <w:tcPr/>
          <w:p>
            <w:pPr>
              <w:pStyle w:val="Compact"/>
              <w:jc w:val="center"/>
            </w:pPr>
            <w:r>
              <w:t xml:space="preserve">Sam Brown Hegde*</w:t>
            </w:r>
          </w:p>
        </w:tc>
        <w:tc>
          <w:tcPr/>
          <w:p>
            <w:pPr>
              <w:pStyle w:val="Compact"/>
              <w:jc w:val="center"/>
            </w:pPr>
            <w:r>
              <w:t xml:space="preserve">7,386,270</w:t>
            </w:r>
          </w:p>
        </w:tc>
        <w:tc>
          <w:tcPr/>
          <w:p>
            <w:pPr>
              <w:pStyle w:val="Compact"/>
              <w:jc w:val="center"/>
            </w:pPr>
            <w:r>
              <w:t xml:space="preserve">13.00%</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3.</w:t>
            </w:r>
          </w:p>
        </w:tc>
        <w:tc>
          <w:tcPr/>
          <w:p>
            <w:pPr>
              <w:pStyle w:val="Compact"/>
              <w:jc w:val="center"/>
            </w:pPr>
            <w:r>
              <w:t xml:space="preserve">Sam Lee Hegde*</w:t>
            </w:r>
          </w:p>
        </w:tc>
        <w:tc>
          <w:tcPr/>
          <w:p>
            <w:pPr>
              <w:pStyle w:val="Compact"/>
              <w:jc w:val="center"/>
            </w:pPr>
            <w:r>
              <w:t xml:space="preserve">10,907,771</w:t>
            </w:r>
          </w:p>
        </w:tc>
        <w:tc>
          <w:tcPr/>
          <w:p>
            <w:pPr>
              <w:pStyle w:val="Compact"/>
              <w:jc w:val="center"/>
            </w:pPr>
            <w:r>
              <w:t xml:space="preserve">19.20%</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4.</w:t>
            </w:r>
          </w:p>
        </w:tc>
        <w:tc>
          <w:tcPr/>
          <w:p>
            <w:pPr>
              <w:pStyle w:val="Compact"/>
              <w:jc w:val="center"/>
            </w:pPr>
            <w:r>
              <w:t xml:space="preserve">Sam Johnson Hegde*</w:t>
            </w:r>
          </w:p>
        </w:tc>
        <w:tc>
          <w:tcPr/>
          <w:p>
            <w:pPr>
              <w:pStyle w:val="Compact"/>
              <w:jc w:val="center"/>
            </w:pPr>
            <w:r>
              <w:t xml:space="preserve">10,907,771</w:t>
            </w:r>
          </w:p>
        </w:tc>
        <w:tc>
          <w:tcPr/>
          <w:p>
            <w:pPr>
              <w:pStyle w:val="Compact"/>
              <w:jc w:val="center"/>
            </w:pPr>
            <w:r>
              <w:t xml:space="preserve">19.20%</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5.</w:t>
            </w:r>
          </w:p>
        </w:tc>
        <w:tc>
          <w:tcPr/>
          <w:p>
            <w:pPr>
              <w:pStyle w:val="Compact"/>
              <w:jc w:val="center"/>
            </w:pPr>
            <w:r>
              <w:t xml:space="preserve">Rakhi Girija Shetty</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6.</w:t>
            </w:r>
          </w:p>
        </w:tc>
        <w:tc>
          <w:tcPr/>
          <w:p>
            <w:pPr>
              <w:pStyle w:val="Compact"/>
              <w:jc w:val="center"/>
            </w:pPr>
            <w:r>
              <w:t xml:space="preserve">Globex Inc</w:t>
            </w:r>
          </w:p>
        </w:tc>
        <w:tc>
          <w:tcPr/>
          <w:p>
            <w:pPr>
              <w:pStyle w:val="Compact"/>
              <w:jc w:val="center"/>
            </w:pPr>
            <w:r>
              <w:t xml:space="preserve">10</w:t>
            </w:r>
          </w:p>
        </w:tc>
        <w:tc>
          <w:tcPr/>
          <w:p>
            <w:pPr>
              <w:pStyle w:val="Compact"/>
              <w:jc w:val="center"/>
            </w:pPr>
            <w:r>
              <w:t xml:space="preserve">0.00**%</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7.</w:t>
            </w:r>
          </w:p>
        </w:tc>
        <w:tc>
          <w:tcPr/>
          <w:p>
            <w:pPr>
              <w:pStyle w:val="Compact"/>
              <w:jc w:val="center"/>
            </w:pPr>
            <w:r>
              <w:t xml:space="preserve">Wonka Ltd</w:t>
            </w:r>
          </w:p>
        </w:tc>
        <w:tc>
          <w:tcPr/>
          <w:p>
            <w:pPr>
              <w:pStyle w:val="Compact"/>
              <w:jc w:val="center"/>
            </w:pPr>
            <w:r>
              <w:t xml:space="preserve">10</w:t>
            </w:r>
          </w:p>
        </w:tc>
        <w:tc>
          <w:tcPr/>
          <w:p>
            <w:pPr>
              <w:pStyle w:val="Compact"/>
              <w:jc w:val="center"/>
            </w:pPr>
            <w:r>
              <w:t xml:space="preserve">0.00**%</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8.</w:t>
            </w:r>
          </w:p>
        </w:tc>
        <w:tc>
          <w:tcPr/>
          <w:p>
            <w:pPr>
              <w:pStyle w:val="Compact"/>
              <w:jc w:val="center"/>
            </w:pPr>
            <w:r>
              <w:t xml:space="preserve">Acme Corp</w:t>
            </w:r>
          </w:p>
        </w:tc>
        <w:tc>
          <w:tcPr/>
          <w:p>
            <w:pPr>
              <w:pStyle w:val="Compact"/>
              <w:jc w:val="center"/>
            </w:pPr>
            <w:r>
              <w:t xml:space="preserve">10</w:t>
            </w:r>
          </w:p>
        </w:tc>
        <w:tc>
          <w:tcPr/>
          <w:p>
            <w:pPr>
              <w:pStyle w:val="Compact"/>
              <w:jc w:val="center"/>
            </w:pPr>
            <w:r>
              <w:t xml:space="preserve">0.00**%</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9.</w:t>
            </w:r>
          </w:p>
        </w:tc>
        <w:tc>
          <w:tcPr/>
          <w:p>
            <w:pPr>
              <w:pStyle w:val="Compact"/>
              <w:jc w:val="center"/>
            </w:pPr>
            <w:r>
              <w:t xml:space="preserve">Hooli Inc</w:t>
            </w:r>
          </w:p>
        </w:tc>
        <w:tc>
          <w:tcPr/>
          <w:p>
            <w:pPr>
              <w:pStyle w:val="Compact"/>
              <w:jc w:val="center"/>
            </w:pPr>
            <w:r>
              <w:t xml:space="preserve">10</w:t>
            </w:r>
          </w:p>
        </w:tc>
        <w:tc>
          <w:tcPr/>
          <w:p>
            <w:pPr>
              <w:pStyle w:val="Compact"/>
              <w:jc w:val="center"/>
            </w:pPr>
            <w:r>
              <w:t xml:space="preserve">0.00**%</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10.</w:t>
            </w:r>
          </w:p>
        </w:tc>
        <w:tc>
          <w:tcPr/>
          <w:p>
            <w:pPr>
              <w:pStyle w:val="Compact"/>
              <w:jc w:val="center"/>
            </w:pPr>
            <w:r>
              <w:t xml:space="preserve">Soylent Corp</w:t>
            </w:r>
          </w:p>
        </w:tc>
        <w:tc>
          <w:tcPr/>
          <w:p>
            <w:pPr>
              <w:pStyle w:val="Compact"/>
              <w:jc w:val="center"/>
            </w:pPr>
            <w:r>
              <w:t xml:space="preserve">10</w:t>
            </w:r>
          </w:p>
        </w:tc>
        <w:tc>
          <w:tcPr/>
          <w:p>
            <w:pPr>
              <w:pStyle w:val="Compact"/>
              <w:jc w:val="center"/>
            </w:pPr>
            <w:r>
              <w:t xml:space="preserve">0.00**%</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11.</w:t>
            </w:r>
          </w:p>
        </w:tc>
        <w:tc>
          <w:tcPr/>
          <w:p>
            <w:pPr>
              <w:pStyle w:val="Compact"/>
              <w:jc w:val="center"/>
            </w:pPr>
            <w:r>
              <w:t xml:space="preserve">Vandelay Industries</w:t>
            </w:r>
          </w:p>
        </w:tc>
        <w:tc>
          <w:tcPr/>
          <w:p>
            <w:pPr>
              <w:pStyle w:val="Compact"/>
              <w:jc w:val="center"/>
            </w:pPr>
            <w:r>
              <w:t xml:space="preserve">10</w:t>
            </w:r>
          </w:p>
        </w:tc>
        <w:tc>
          <w:tcPr/>
          <w:p>
            <w:pPr>
              <w:pStyle w:val="Compact"/>
              <w:jc w:val="center"/>
            </w:pPr>
            <w:r>
              <w:t xml:space="preserve">0.00**%</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Sub-total (A)</w:t>
            </w:r>
          </w:p>
        </w:tc>
        <w:tc>
          <w:tcPr/>
          <w:p>
            <w:pPr>
              <w:pStyle w:val="Compact"/>
              <w:jc w:val="center"/>
            </w:pPr>
            <w:r>
              <w:t xml:space="preserve">55,906,542</w:t>
            </w:r>
          </w:p>
        </w:tc>
        <w:tc>
          <w:tcPr/>
          <w:p>
            <w:pPr>
              <w:pStyle w:val="Compact"/>
              <w:jc w:val="center"/>
            </w:pPr>
            <w:r>
              <w:t xml:space="preserve">98.40%</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center"/>
            </w:pPr>
            <w:r>
              <w:t xml:space="preserve">Umbrella Ltd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12.</w:t>
            </w:r>
          </w:p>
        </w:tc>
        <w:tc>
          <w:tcPr/>
          <w:p>
            <w:pPr>
              <w:pStyle w:val="Compact"/>
              <w:jc w:val="center"/>
            </w:pPr>
            <w:r>
              <w:t xml:space="preserve">Maithili Alex Walker</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13.</w:t>
            </w:r>
          </w:p>
        </w:tc>
        <w:tc>
          <w:tcPr/>
          <w:p>
            <w:pPr>
              <w:pStyle w:val="Compact"/>
              <w:jc w:val="center"/>
            </w:pPr>
            <w:r>
              <w:t xml:space="preserve">Katyayani Balasubramanian</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Sub-total (B)</w:t>
            </w:r>
          </w:p>
        </w:tc>
        <w:tc>
          <w:tcPr/>
          <w:p>
            <w:pPr>
              <w:pStyle w:val="Compact"/>
              <w:jc w:val="center"/>
            </w:pPr>
            <w:r>
              <w:t xml:space="preserve">200</w:t>
            </w:r>
          </w:p>
        </w:tc>
        <w:tc>
          <w:tcPr/>
          <w:p>
            <w:pPr>
              <w:pStyle w:val="Compact"/>
              <w:jc w:val="center"/>
            </w:pPr>
            <w:r>
              <w:t xml:space="preserve">0.00**%</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center"/>
            </w:pPr>
            <w:r>
              <w:t xml:space="preserve">Total (A + B)</w:t>
            </w:r>
          </w:p>
        </w:tc>
        <w:tc>
          <w:tcPr/>
          <w:p>
            <w:pPr>
              <w:pStyle w:val="Compact"/>
              <w:jc w:val="center"/>
            </w:pPr>
            <w:r>
              <w:t xml:space="preserve">55,906,742</w:t>
            </w:r>
          </w:p>
        </w:tc>
        <w:tc>
          <w:tcPr/>
          <w:p>
            <w:pPr>
              <w:pStyle w:val="Compact"/>
              <w:jc w:val="center"/>
            </w:pPr>
            <w:r>
              <w:t xml:space="preserve">98.40%</w:t>
            </w:r>
          </w:p>
        </w:tc>
        <w:tc>
          <w:tcPr/>
          <w:p>
            <w:pPr>
              <w:pStyle w:val="Compact"/>
              <w:jc w:val="center"/>
            </w:pPr>
            <w:r>
              <w:t xml:space="preserve">[●]</w:t>
            </w:r>
          </w:p>
        </w:tc>
        <w:tc>
          <w:tcPr/>
          <w:p>
            <w:pPr>
              <w:pStyle w:val="Compact"/>
              <w:jc w:val="center"/>
            </w:pPr>
            <w:r>
              <w:t xml:space="preserve">[●]</w:t>
            </w:r>
          </w:p>
        </w:tc>
        <w:tc>
          <w:tcPr/>
          <w:p>
            <w:pPr>
              <w:pStyle w:val="Compact"/>
            </w:pPr>
          </w:p>
        </w:tc>
      </w:tr>
    </w:tbl>
    <w:p>
      <w:pPr>
        <w:pStyle w:val="BodyText"/>
      </w:pPr>
      <w:r>
        <w:t xml:space="preserve">*Also, the Promoter Selling Shareholder.</w:t>
      </w:r>
    </w:p>
    <w:p>
      <w:pPr>
        <w:pStyle w:val="BodyText"/>
      </w:pPr>
      <w:r>
        <w:t xml:space="preserve">**The number is negligible and below the rounding off norms adopted by our Company.</w:t>
      </w:r>
    </w:p>
    <w:p>
      <w:pPr>
        <w:pStyle w:val="BodyText"/>
      </w:pPr>
      <w:r>
        <w:t xml:space="preserve">^Subject to completion of the Offer and finalisation of the Basis of Allotment.</w:t>
      </w:r>
    </w:p>
    <w:p>
      <w:pPr>
        <w:pStyle w:val="BodyText"/>
      </w:pPr>
      <w:r>
        <w:t xml:space="preserve">For further details, see</w:t>
      </w:r>
      <w:r>
        <w:t xml:space="preserve"> </w:t>
      </w:r>
      <w:r>
        <w:t xml:space="preserve">“</w:t>
      </w:r>
      <w:r>
        <w:t xml:space="preserve">Capital Structure</w:t>
      </w:r>
      <w:r>
        <w:t xml:space="preserve">”</w:t>
      </w:r>
      <w:r>
        <w:t xml:space="preserve"> </w:t>
      </w:r>
      <w:r>
        <w:t xml:space="preserve">on page 84.</w:t>
      </w:r>
    </w:p>
    <w:p>
      <w:pPr>
        <w:pStyle w:val="BodyText"/>
      </w:pPr>
      <w:r>
        <w:t xml:space="preserve">Aggregate pre-Offer and post-Offer shareholding of our Promoters, members of our Umbrella Ltd and the additional top 10 Shareholders of our Company</w:t>
      </w:r>
    </w:p>
    <w:p>
      <w:pPr>
        <w:pStyle w:val="BodyText"/>
      </w:pPr>
      <w:r>
        <w:t xml:space="preserve">The aggregate pre-Offer and post-Offer shareholding of our Promoters, members of our Umbrella Ltd and additional top 10 Shareholders (apart from Promoters and members of our Umbrella Ltd) as a percentage of the pre-Offer and post-Offer paid-up Stark Industries capital of our Company is set out below:</w:t>
      </w:r>
    </w:p>
    <w:tbl>
      <w:tblPr>
        <w:tblStyle w:val="Table"/>
        <w:tblW w:type="pct" w:w="5000"/>
        <w:tblLook w:firstRow="0" w:lastRow="0" w:firstColumn="0" w:lastColumn="0" w:noHBand="0" w:noVBand="0" w:val="0000"/>
        <w:jc w:val="start"/>
      </w:tblPr>
      <w:tblGrid>
        <w:gridCol w:w="1131"/>
        <w:gridCol w:w="1131"/>
        <w:gridCol w:w="1131"/>
        <w:gridCol w:w="1131"/>
        <w:gridCol w:w="1131"/>
        <w:gridCol w:w="1131"/>
        <w:gridCol w:w="1131"/>
      </w:tblGrid>
      <w:tr>
        <w:tc>
          <w:tcPr/>
          <w:p>
            <w:pPr>
              <w:pStyle w:val="Compact"/>
              <w:jc w:val="center"/>
            </w:pPr>
            <w:r>
              <w:t xml:space="preserve">Name</w:t>
            </w:r>
          </w:p>
        </w:tc>
        <w:tc>
          <w:tcPr/>
          <w:p>
            <w:pPr>
              <w:pStyle w:val="Compact"/>
              <w:jc w:val="center"/>
            </w:pPr>
            <w:r>
              <w:t xml:space="preserve">Pre-Offer</w:t>
            </w:r>
          </w:p>
        </w:tc>
        <w:tc>
          <w:tcPr/>
          <w:p>
            <w:pPr>
              <w:pStyle w:val="Compact"/>
              <w:jc w:val="center"/>
            </w:pPr>
            <w:r>
              <w:t xml:space="preserve">Post-Offer shareholding as at Allotment^</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Number of Equity Shares of face value of₹5 each</w:t>
            </w:r>
          </w:p>
        </w:tc>
        <w:tc>
          <w:tcPr/>
          <w:p>
            <w:pPr>
              <w:pStyle w:val="Compact"/>
              <w:jc w:val="center"/>
            </w:pPr>
            <w:r>
              <w:t xml:space="preserve">Percentage of pre-Offer Equity Share capital (%)</w:t>
            </w:r>
          </w:p>
        </w:tc>
        <w:tc>
          <w:tcPr/>
          <w:p>
            <w:pPr>
              <w:pStyle w:val="Compact"/>
              <w:jc w:val="center"/>
            </w:pPr>
            <w:r>
              <w:t xml:space="preserve">At the lower end of the price band (₹[●])</w:t>
            </w:r>
          </w:p>
        </w:tc>
        <w:tc>
          <w:tcPr/>
          <w:p>
            <w:pPr>
              <w:pStyle w:val="Compact"/>
              <w:jc w:val="center"/>
            </w:pPr>
            <w:r>
              <w:t xml:space="preserve">At the upper end of the price band (₹[●])</w:t>
            </w:r>
          </w:p>
        </w:tc>
        <w:tc>
          <w:tcPr/>
          <w:p>
            <w:pPr>
              <w:pStyle w:val="Compact"/>
            </w:pPr>
          </w:p>
        </w:tc>
        <w:tc>
          <w:tcPr/>
          <w:p>
            <w:pPr>
              <w:pStyle w:val="Compact"/>
            </w:pPr>
          </w:p>
        </w:tc>
        <w:tc>
          <w:tcPr/>
          <w:p>
            <w:pPr>
              <w:pStyle w:val="Compact"/>
            </w:pPr>
          </w:p>
        </w:tc>
      </w:tr>
      <w:tr>
        <w:tc>
          <w:tcPr/>
          <w:p>
            <w:pPr>
              <w:pStyle w:val="Compact"/>
              <w:jc w:val="center"/>
            </w:pPr>
            <w:r>
              <w:t xml:space="preserve">Number of Equity Shares offace value of ₹5 each</w:t>
            </w:r>
          </w:p>
        </w:tc>
        <w:tc>
          <w:tcPr/>
          <w:p>
            <w:pPr>
              <w:pStyle w:val="Compact"/>
              <w:jc w:val="center"/>
            </w:pPr>
            <w:r>
              <w:t xml:space="preserve">Percentage of post-Offer Equity Share capital (%)</w:t>
            </w:r>
          </w:p>
        </w:tc>
        <w:tc>
          <w:tcPr/>
          <w:p>
            <w:pPr>
              <w:pStyle w:val="Compact"/>
              <w:jc w:val="center"/>
            </w:pPr>
            <w:r>
              <w:t xml:space="preserve">Number of Equity Shares offace value of ₹5 each</w:t>
            </w:r>
          </w:p>
        </w:tc>
        <w:tc>
          <w:tcPr/>
          <w:p>
            <w:pPr>
              <w:pStyle w:val="Compact"/>
              <w:jc w:val="center"/>
            </w:pPr>
            <w:r>
              <w:t xml:space="preserve">Percentage of post-OfferEquity Share capital (%)</w:t>
            </w:r>
          </w:p>
        </w:tc>
        <w:tc>
          <w:tcPr/>
          <w:p>
            <w:pPr>
              <w:pStyle w:val="Compact"/>
            </w:pPr>
          </w:p>
        </w:tc>
        <w:tc>
          <w:tcPr/>
          <w:p>
            <w:pPr>
              <w:pStyle w:val="Compact"/>
            </w:pPr>
          </w:p>
        </w:tc>
        <w:tc>
          <w:tcPr/>
          <w:p>
            <w:pPr>
              <w:pStyle w:val="Compact"/>
            </w:pPr>
          </w:p>
        </w:tc>
      </w:tr>
      <w:tr>
        <w:tc>
          <w:tcPr/>
          <w:p>
            <w:pPr>
              <w:pStyle w:val="Compact"/>
              <w:jc w:val="center"/>
            </w:pPr>
            <w:r>
              <w:t xml:space="preserve">Promoters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Sam Wilson Hegde*</w:t>
            </w:r>
          </w:p>
        </w:tc>
        <w:tc>
          <w:tcPr/>
          <w:p>
            <w:pPr>
              <w:pStyle w:val="Compact"/>
              <w:jc w:val="center"/>
            </w:pPr>
            <w:r>
              <w:t xml:space="preserve">26,704,570</w:t>
            </w:r>
          </w:p>
        </w:tc>
        <w:tc>
          <w:tcPr/>
          <w:p>
            <w:pPr>
              <w:pStyle w:val="Compact"/>
              <w:jc w:val="center"/>
            </w:pPr>
            <w:r>
              <w:t xml:space="preserve">47.00%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tbl>
      <w:tblPr>
        <w:tblStyle w:val="Table"/>
        <w:tblW w:type="pct" w:w="5000"/>
        <w:tblLook w:firstRow="0" w:lastRow="0" w:firstColumn="0" w:lastColumn="0" w:noHBand="0" w:noVBand="0" w:val="0000"/>
        <w:jc w:val="start"/>
      </w:tblPr>
      <w:tblGrid>
        <w:gridCol w:w="1131"/>
        <w:gridCol w:w="1131"/>
        <w:gridCol w:w="1131"/>
        <w:gridCol w:w="1131"/>
        <w:gridCol w:w="1131"/>
        <w:gridCol w:w="1131"/>
        <w:gridCol w:w="1131"/>
      </w:tblGrid>
      <w:tr>
        <w:tc>
          <w:tcPr/>
          <w:p>
            <w:pPr>
              <w:pStyle w:val="Compact"/>
              <w:jc w:val="center"/>
            </w:pPr>
            <w:r>
              <w:t xml:space="preserve">Name</w:t>
            </w:r>
          </w:p>
        </w:tc>
        <w:tc>
          <w:tcPr/>
          <w:p>
            <w:pPr>
              <w:pStyle w:val="Compact"/>
              <w:jc w:val="center"/>
            </w:pPr>
            <w:r>
              <w:t xml:space="preserve">Pre-Offer</w:t>
            </w:r>
          </w:p>
        </w:tc>
        <w:tc>
          <w:tcPr/>
          <w:p>
            <w:pPr>
              <w:pStyle w:val="Compact"/>
              <w:jc w:val="center"/>
            </w:pPr>
            <w:r>
              <w:t xml:space="preserve">Post-Offer shareholding as at Allotment^</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Number of Equity Shares of face value of₹5 each</w:t>
            </w:r>
          </w:p>
        </w:tc>
        <w:tc>
          <w:tcPr/>
          <w:p>
            <w:pPr>
              <w:pStyle w:val="Compact"/>
              <w:jc w:val="center"/>
            </w:pPr>
            <w:r>
              <w:t xml:space="preserve">Percentage of pre-Offer Equity Share capital (%)</w:t>
            </w:r>
          </w:p>
        </w:tc>
        <w:tc>
          <w:tcPr/>
          <w:p>
            <w:pPr>
              <w:pStyle w:val="Compact"/>
              <w:jc w:val="center"/>
            </w:pPr>
            <w:r>
              <w:t xml:space="preserve">At the lower end of the price band (₹[●])</w:t>
            </w:r>
          </w:p>
        </w:tc>
        <w:tc>
          <w:tcPr/>
          <w:p>
            <w:pPr>
              <w:pStyle w:val="Compact"/>
              <w:jc w:val="center"/>
            </w:pPr>
            <w:r>
              <w:t xml:space="preserve">At the upper end of the price band (₹[●])</w:t>
            </w:r>
          </w:p>
        </w:tc>
        <w:tc>
          <w:tcPr/>
          <w:p>
            <w:pPr>
              <w:pStyle w:val="Compact"/>
            </w:pPr>
          </w:p>
        </w:tc>
        <w:tc>
          <w:tcPr/>
          <w:p>
            <w:pPr>
              <w:pStyle w:val="Compact"/>
            </w:pPr>
          </w:p>
        </w:tc>
        <w:tc>
          <w:tcPr/>
          <w:p>
            <w:pPr>
              <w:pStyle w:val="Compact"/>
            </w:pPr>
          </w:p>
        </w:tc>
      </w:tr>
      <w:tr>
        <w:tc>
          <w:tcPr/>
          <w:p>
            <w:pPr>
              <w:pStyle w:val="Compact"/>
              <w:jc w:val="center"/>
            </w:pPr>
            <w:r>
              <w:t xml:space="preserve">Number of Equity Shares of face value of ₹5each</w:t>
            </w:r>
          </w:p>
        </w:tc>
        <w:tc>
          <w:tcPr/>
          <w:p>
            <w:pPr>
              <w:pStyle w:val="Compact"/>
              <w:jc w:val="center"/>
            </w:pPr>
            <w:r>
              <w:t xml:space="preserve">Percentage of post-Offer Equity Share capital (%)</w:t>
            </w:r>
          </w:p>
        </w:tc>
        <w:tc>
          <w:tcPr/>
          <w:p>
            <w:pPr>
              <w:pStyle w:val="Compact"/>
              <w:jc w:val="center"/>
            </w:pPr>
            <w:r>
              <w:t xml:space="preserve">Number of Equity Shares of face value of ₹5each</w:t>
            </w:r>
          </w:p>
        </w:tc>
        <w:tc>
          <w:tcPr/>
          <w:p>
            <w:pPr>
              <w:pStyle w:val="Compact"/>
              <w:jc w:val="center"/>
            </w:pPr>
            <w:r>
              <w:t xml:space="preserve">Percentage of post-Offer Equity Sharecapital (%)</w:t>
            </w:r>
          </w:p>
        </w:tc>
        <w:tc>
          <w:tcPr/>
          <w:p>
            <w:pPr>
              <w:pStyle w:val="Compact"/>
            </w:pPr>
          </w:p>
        </w:tc>
        <w:tc>
          <w:tcPr/>
          <w:p>
            <w:pPr>
              <w:pStyle w:val="Compact"/>
            </w:pPr>
          </w:p>
        </w:tc>
        <w:tc>
          <w:tcPr/>
          <w:p>
            <w:pPr>
              <w:pStyle w:val="Compact"/>
            </w:pPr>
          </w:p>
        </w:tc>
      </w:tr>
      <w:tr>
        <w:tc>
          <w:tcPr/>
          <w:p>
            <w:pPr>
              <w:pStyle w:val="Compact"/>
              <w:jc w:val="center"/>
            </w:pPr>
            <w:r>
              <w:t xml:space="preserve">Sam Brown Hegde*</w:t>
            </w:r>
          </w:p>
        </w:tc>
        <w:tc>
          <w:tcPr/>
          <w:p>
            <w:pPr>
              <w:pStyle w:val="Compact"/>
              <w:jc w:val="center"/>
            </w:pPr>
            <w:r>
              <w:t xml:space="preserve">7,386,270</w:t>
            </w:r>
          </w:p>
        </w:tc>
        <w:tc>
          <w:tcPr/>
          <w:p>
            <w:pPr>
              <w:pStyle w:val="Compact"/>
              <w:jc w:val="center"/>
            </w:pPr>
            <w:r>
              <w:t xml:space="preserve">13.00%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Sam Lee Hegde*</w:t>
            </w:r>
          </w:p>
        </w:tc>
        <w:tc>
          <w:tcPr/>
          <w:p>
            <w:pPr>
              <w:pStyle w:val="Compact"/>
              <w:jc w:val="center"/>
            </w:pPr>
            <w:r>
              <w:t xml:space="preserve">10,907,771</w:t>
            </w:r>
          </w:p>
        </w:tc>
        <w:tc>
          <w:tcPr/>
          <w:p>
            <w:pPr>
              <w:pStyle w:val="Compact"/>
              <w:jc w:val="center"/>
            </w:pPr>
            <w:r>
              <w:t xml:space="preserve">19.20%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Sam Johnson Hegde*</w:t>
            </w:r>
          </w:p>
        </w:tc>
        <w:tc>
          <w:tcPr/>
          <w:p>
            <w:pPr>
              <w:pStyle w:val="Compact"/>
              <w:jc w:val="center"/>
            </w:pPr>
            <w:r>
              <w:t xml:space="preserve">10,907,771</w:t>
            </w:r>
          </w:p>
        </w:tc>
        <w:tc>
          <w:tcPr/>
          <w:p>
            <w:pPr>
              <w:pStyle w:val="Compact"/>
              <w:jc w:val="center"/>
            </w:pPr>
            <w:r>
              <w:t xml:space="preserve">19.20%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Umbrella Ltd</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Globex Inc</w:t>
            </w:r>
          </w:p>
        </w:tc>
        <w:tc>
          <w:tcPr/>
          <w:p>
            <w:pPr>
              <w:pStyle w:val="Compact"/>
              <w:jc w:val="center"/>
            </w:pPr>
            <w:r>
              <w:t xml:space="preserve">10</w:t>
            </w:r>
          </w:p>
        </w:tc>
        <w:tc>
          <w:tcPr/>
          <w:p>
            <w:pPr>
              <w:pStyle w:val="Compact"/>
              <w:jc w:val="center"/>
            </w:pPr>
            <w:r>
              <w:t xml:space="preserve">0.00**%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Wonka Ltd</w:t>
            </w:r>
          </w:p>
        </w:tc>
        <w:tc>
          <w:tcPr/>
          <w:p>
            <w:pPr>
              <w:pStyle w:val="Compact"/>
              <w:jc w:val="center"/>
            </w:pPr>
            <w:r>
              <w:t xml:space="preserve">10</w:t>
            </w:r>
          </w:p>
        </w:tc>
        <w:tc>
          <w:tcPr/>
          <w:p>
            <w:pPr>
              <w:pStyle w:val="Compact"/>
              <w:jc w:val="center"/>
            </w:pPr>
            <w:r>
              <w:t xml:space="preserve">0.00**%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Acme Corp</w:t>
            </w:r>
          </w:p>
        </w:tc>
        <w:tc>
          <w:tcPr/>
          <w:p>
            <w:pPr>
              <w:pStyle w:val="Compact"/>
              <w:jc w:val="center"/>
            </w:pPr>
            <w:r>
              <w:t xml:space="preserve">10</w:t>
            </w:r>
          </w:p>
        </w:tc>
        <w:tc>
          <w:tcPr/>
          <w:p>
            <w:pPr>
              <w:pStyle w:val="Compact"/>
              <w:jc w:val="center"/>
            </w:pPr>
            <w:r>
              <w:t xml:space="preserve">0.00**%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Hooli Inc</w:t>
            </w:r>
          </w:p>
        </w:tc>
        <w:tc>
          <w:tcPr/>
          <w:p>
            <w:pPr>
              <w:pStyle w:val="Compact"/>
              <w:jc w:val="center"/>
            </w:pPr>
            <w:r>
              <w:t xml:space="preserve">10</w:t>
            </w:r>
          </w:p>
        </w:tc>
        <w:tc>
          <w:tcPr/>
          <w:p>
            <w:pPr>
              <w:pStyle w:val="Compact"/>
              <w:jc w:val="center"/>
            </w:pPr>
            <w:r>
              <w:t xml:space="preserve">0.00**%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Soylent Corp</w:t>
            </w:r>
          </w:p>
        </w:tc>
        <w:tc>
          <w:tcPr/>
          <w:p>
            <w:pPr>
              <w:pStyle w:val="Compact"/>
              <w:jc w:val="center"/>
            </w:pPr>
            <w:r>
              <w:t xml:space="preserve">10</w:t>
            </w:r>
          </w:p>
        </w:tc>
        <w:tc>
          <w:tcPr/>
          <w:p>
            <w:pPr>
              <w:pStyle w:val="Compact"/>
              <w:jc w:val="center"/>
            </w:pPr>
            <w:r>
              <w:t xml:space="preserve">0.00**%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Vandelay Industries</w:t>
            </w:r>
          </w:p>
        </w:tc>
        <w:tc>
          <w:tcPr/>
          <w:p>
            <w:pPr>
              <w:pStyle w:val="Compact"/>
              <w:jc w:val="center"/>
            </w:pPr>
            <w:r>
              <w:t xml:space="preserve">10</w:t>
            </w:r>
          </w:p>
        </w:tc>
        <w:tc>
          <w:tcPr/>
          <w:p>
            <w:pPr>
              <w:pStyle w:val="Compact"/>
              <w:jc w:val="center"/>
            </w:pPr>
            <w:r>
              <w:t xml:space="preserve">0.00**%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Sub-total (A)</w:t>
            </w:r>
          </w:p>
        </w:tc>
        <w:tc>
          <w:tcPr/>
          <w:p>
            <w:pPr>
              <w:pStyle w:val="Compact"/>
              <w:jc w:val="center"/>
            </w:pPr>
            <w:r>
              <w:t xml:space="preserve">55,906,542</w:t>
            </w:r>
          </w:p>
        </w:tc>
        <w:tc>
          <w:tcPr/>
          <w:p>
            <w:pPr>
              <w:pStyle w:val="Compact"/>
              <w:jc w:val="center"/>
            </w:pPr>
            <w:r>
              <w:t xml:space="preserve">98.40%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Umbrella Ltd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Maithili Alex Walker</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Katyayani Balasubramanian</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Sub-total (B)</w:t>
            </w:r>
          </w:p>
        </w:tc>
        <w:tc>
          <w:tcPr/>
          <w:p>
            <w:pPr>
              <w:pStyle w:val="Compact"/>
              <w:jc w:val="center"/>
            </w:pPr>
            <w:r>
              <w:t xml:space="preserve">200</w:t>
            </w:r>
          </w:p>
        </w:tc>
        <w:tc>
          <w:tcPr/>
          <w:p>
            <w:pPr>
              <w:pStyle w:val="Compact"/>
              <w:jc w:val="center"/>
            </w:pPr>
            <w:r>
              <w:t xml:space="preserve">0.00**%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Additional top 10 Shareholders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Malabar India Fund Limited</w:t>
            </w:r>
          </w:p>
        </w:tc>
        <w:tc>
          <w:tcPr/>
          <w:p>
            <w:pPr>
              <w:pStyle w:val="Compact"/>
              <w:jc w:val="center"/>
            </w:pPr>
            <w:r>
              <w:t xml:space="preserve">8,51,563</w:t>
            </w:r>
          </w:p>
        </w:tc>
        <w:tc>
          <w:tcPr/>
          <w:p>
            <w:pPr>
              <w:pStyle w:val="Compact"/>
              <w:jc w:val="center"/>
            </w:pPr>
            <w:r>
              <w:t xml:space="preserve">1.50%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Chris Doe</w:t>
            </w:r>
          </w:p>
        </w:tc>
        <w:tc>
          <w:tcPr/>
          <w:p>
            <w:pPr>
              <w:pStyle w:val="Compact"/>
              <w:jc w:val="center"/>
            </w:pPr>
            <w:r>
              <w:t xml:space="preserve">39,062</w:t>
            </w:r>
          </w:p>
        </w:tc>
        <w:tc>
          <w:tcPr/>
          <w:p>
            <w:pPr>
              <w:pStyle w:val="Compact"/>
              <w:jc w:val="center"/>
            </w:pPr>
            <w:r>
              <w:t xml:space="preserve">0.07%</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Sam Allen</w:t>
            </w:r>
          </w:p>
        </w:tc>
        <w:tc>
          <w:tcPr/>
          <w:p>
            <w:pPr>
              <w:pStyle w:val="Compact"/>
              <w:jc w:val="center"/>
            </w:pPr>
            <w:r>
              <w:t xml:space="preserve">13,021</w:t>
            </w:r>
          </w:p>
        </w:tc>
        <w:tc>
          <w:tcPr/>
          <w:p>
            <w:pPr>
              <w:pStyle w:val="Compact"/>
              <w:jc w:val="center"/>
            </w:pPr>
            <w:r>
              <w:t xml:space="preserve">0.02%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Sam Young</w:t>
            </w:r>
          </w:p>
        </w:tc>
        <w:tc>
          <w:tcPr/>
          <w:p>
            <w:pPr>
              <w:pStyle w:val="Compact"/>
              <w:jc w:val="center"/>
            </w:pPr>
            <w:r>
              <w:t xml:space="preserve">2,604</w:t>
            </w:r>
          </w:p>
        </w:tc>
        <w:tc>
          <w:tcPr/>
          <w:p>
            <w:pPr>
              <w:pStyle w:val="Compact"/>
              <w:jc w:val="center"/>
            </w:pPr>
            <w:r>
              <w:t xml:space="preserve">0.00**%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Sam Hall</w:t>
            </w:r>
          </w:p>
        </w:tc>
        <w:tc>
          <w:tcPr/>
          <w:p>
            <w:pPr>
              <w:pStyle w:val="Compact"/>
              <w:jc w:val="center"/>
            </w:pPr>
            <w:r>
              <w:t xml:space="preserve">2,604</w:t>
            </w:r>
          </w:p>
        </w:tc>
        <w:tc>
          <w:tcPr/>
          <w:p>
            <w:pPr>
              <w:pStyle w:val="Compact"/>
              <w:jc w:val="center"/>
            </w:pPr>
            <w:r>
              <w:t xml:space="preserve">0.00**%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Sam Walker</w:t>
            </w:r>
          </w:p>
        </w:tc>
        <w:tc>
          <w:tcPr/>
          <w:p>
            <w:pPr>
              <w:pStyle w:val="Compact"/>
              <w:jc w:val="center"/>
            </w:pPr>
            <w:r>
              <w:t xml:space="preserve">2,604</w:t>
            </w:r>
          </w:p>
        </w:tc>
        <w:tc>
          <w:tcPr/>
          <w:p>
            <w:pPr>
              <w:pStyle w:val="Compact"/>
              <w:jc w:val="center"/>
            </w:pPr>
            <w:r>
              <w:t xml:space="preserve">0.00**%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Sub-total (C)</w:t>
            </w:r>
          </w:p>
        </w:tc>
        <w:tc>
          <w:tcPr/>
          <w:p>
            <w:pPr>
              <w:pStyle w:val="Compact"/>
              <w:jc w:val="center"/>
            </w:pPr>
            <w:r>
              <w:t xml:space="preserve">911,458</w:t>
            </w:r>
          </w:p>
        </w:tc>
        <w:tc>
          <w:tcPr/>
          <w:p>
            <w:pPr>
              <w:pStyle w:val="Compact"/>
              <w:jc w:val="center"/>
            </w:pPr>
            <w:r>
              <w:t xml:space="preserve">1.60%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Total (A+B+C)</w:t>
            </w:r>
          </w:p>
        </w:tc>
        <w:tc>
          <w:tcPr/>
          <w:p>
            <w:pPr>
              <w:pStyle w:val="Compact"/>
              <w:jc w:val="center"/>
            </w:pPr>
            <w:r>
              <w:t xml:space="preserve">5,68,18,200</w:t>
            </w:r>
          </w:p>
        </w:tc>
        <w:tc>
          <w:tcPr/>
          <w:p>
            <w:pPr>
              <w:pStyle w:val="Compact"/>
              <w:jc w:val="center"/>
            </w:pPr>
            <w:r>
              <w:t xml:space="preserve">100.00%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t xml:space="preserve">^Subject to completion of the Offer and finalisation of the Basis of Allotment.</w:t>
      </w:r>
    </w:p>
    <w:p>
      <w:pPr>
        <w:pStyle w:val="BodyText"/>
      </w:pPr>
      <w:r>
        <w:t xml:space="preserve">** The number is negligible and below the rounding off norms adopted by our Company.</w:t>
      </w:r>
    </w:p>
    <w:p>
      <w:pPr>
        <w:pStyle w:val="BodyText"/>
      </w:pPr>
      <w:r>
        <w:t xml:space="preserve">*Also, the Promoter Selling Shareholder</w:t>
      </w:r>
    </w:p>
    <w:p>
      <w:pPr>
        <w:pStyle w:val="BodyText"/>
      </w:pPr>
      <w:r>
        <w:t xml:space="preserve">For further details, see</w:t>
      </w:r>
      <w:r>
        <w:t xml:space="preserve"> </w:t>
      </w:r>
      <w:r>
        <w:t xml:space="preserve">“</w:t>
      </w:r>
      <w:r>
        <w:t xml:space="preserve">Capital Structure</w:t>
      </w:r>
      <w:r>
        <w:t xml:space="preserve">”</w:t>
      </w:r>
      <w:r>
        <w:t xml:space="preserve"> </w:t>
      </w:r>
      <w:r>
        <w:t xml:space="preserve">on page 84.</w:t>
      </w:r>
    </w:p>
    <w:p>
      <w:pPr>
        <w:pStyle w:val="BodyText"/>
      </w:pPr>
      <w:r>
        <w:t xml:space="preserve">Summary of selected financial information</w:t>
      </w:r>
    </w:p>
    <w:p>
      <w:pPr>
        <w:pStyle w:val="BodyText"/>
      </w:pPr>
      <w:r>
        <w:t xml:space="preserve">The details of certain financial information as at and for the three-month period ended June 30, 2025 and Fiscals 2025, 2024 and 2023, as derived from the Restated Financial Statements are set forth below:</w:t>
      </w:r>
    </w:p>
    <w:p>
      <w:pPr>
        <w:pStyle w:val="BodyText"/>
      </w:pPr>
      <w:r>
        <w:t xml:space="preserve">(₹ in million, except per share data)</w:t>
      </w:r>
    </w:p>
    <w:tbl>
      <w:tblPr>
        <w:tblStyle w:val="Table"/>
        <w:tblW w:type="pct" w:w="5000"/>
        <w:tblLook w:firstRow="0" w:lastRow="0" w:firstColumn="0" w:lastColumn="0" w:noHBand="0" w:noVBand="0" w:val="0000"/>
        <w:jc w:val="start"/>
      </w:tblPr>
      <w:tblGrid>
        <w:gridCol w:w="1584"/>
        <w:gridCol w:w="1584"/>
        <w:gridCol w:w="1584"/>
        <w:gridCol w:w="1584"/>
        <w:gridCol w:w="1584"/>
      </w:tblGrid>
      <w:tr>
        <w:tc>
          <w:tcPr/>
          <w:p>
            <w:pPr>
              <w:pStyle w:val="Compact"/>
              <w:jc w:val="center"/>
            </w:pPr>
            <w:r>
              <w:t xml:space="preserve">Particulars</w:t>
            </w:r>
          </w:p>
        </w:tc>
        <w:tc>
          <w:tcPr/>
          <w:p>
            <w:pPr>
              <w:pStyle w:val="Compact"/>
              <w:jc w:val="center"/>
            </w:pPr>
            <w:r>
              <w:t xml:space="preserve">As at and for the three-month period ended June 30, 2025</w:t>
            </w:r>
          </w:p>
        </w:tc>
        <w:tc>
          <w:tcPr/>
          <w:p>
            <w:pPr>
              <w:pStyle w:val="Compact"/>
              <w:jc w:val="center"/>
            </w:pPr>
            <w:r>
              <w:t xml:space="preserve">As at and for</w:t>
            </w:r>
          </w:p>
        </w:tc>
        <w:tc>
          <w:tcPr/>
          <w:p>
            <w:pPr>
              <w:pStyle w:val="Compact"/>
            </w:pPr>
          </w:p>
        </w:tc>
        <w:tc>
          <w:tcPr/>
          <w:p>
            <w:pPr>
              <w:pStyle w:val="Compact"/>
            </w:pPr>
          </w:p>
        </w:tc>
      </w:tr>
      <w:tr>
        <w:tc>
          <w:tcPr/>
          <w:p>
            <w:pPr>
              <w:pStyle w:val="Compact"/>
              <w:jc w:val="center"/>
            </w:pPr>
            <w:r>
              <w:t xml:space="preserve">Fiscal 2025</w:t>
            </w:r>
          </w:p>
        </w:tc>
        <w:tc>
          <w:tcPr/>
          <w:p>
            <w:pPr>
              <w:pStyle w:val="Compact"/>
              <w:jc w:val="center"/>
            </w:pPr>
            <w:r>
              <w:t xml:space="preserve">Fiscal 2024</w:t>
            </w:r>
          </w:p>
        </w:tc>
        <w:tc>
          <w:tcPr/>
          <w:p>
            <w:pPr>
              <w:pStyle w:val="Compact"/>
              <w:jc w:val="center"/>
            </w:pPr>
            <w:r>
              <w:t xml:space="preserve">Fiscal 2023</w:t>
            </w:r>
          </w:p>
        </w:tc>
        <w:tc>
          <w:tcPr/>
          <w:p>
            <w:pPr>
              <w:pStyle w:val="Compact"/>
            </w:pPr>
          </w:p>
        </w:tc>
        <w:tc>
          <w:tcPr/>
          <w:p>
            <w:pPr>
              <w:pStyle w:val="Compact"/>
            </w:pPr>
          </w:p>
        </w:tc>
      </w:tr>
      <w:tr>
        <w:tc>
          <w:tcPr/>
          <w:p>
            <w:pPr>
              <w:pStyle w:val="Compact"/>
              <w:jc w:val="center"/>
            </w:pPr>
            <w:r>
              <w:t xml:space="preserve">Equity share capital</w:t>
            </w:r>
          </w:p>
        </w:tc>
        <w:tc>
          <w:tcPr/>
          <w:p>
            <w:pPr>
              <w:pStyle w:val="Compact"/>
              <w:jc w:val="center"/>
            </w:pPr>
            <w:r>
              <w:t xml:space="preserve">284.09</w:t>
            </w:r>
          </w:p>
        </w:tc>
        <w:tc>
          <w:tcPr/>
          <w:p>
            <w:pPr>
              <w:pStyle w:val="Compact"/>
              <w:jc w:val="center"/>
            </w:pPr>
            <w:r>
              <w:t xml:space="preserve">284.09</w:t>
            </w:r>
          </w:p>
        </w:tc>
        <w:tc>
          <w:tcPr/>
          <w:p>
            <w:pPr>
              <w:pStyle w:val="Compact"/>
              <w:jc w:val="center"/>
            </w:pPr>
            <w:r>
              <w:t xml:space="preserve">56.82</w:t>
            </w:r>
          </w:p>
        </w:tc>
        <w:tc>
          <w:tcPr/>
          <w:p>
            <w:pPr>
              <w:pStyle w:val="Compact"/>
              <w:jc w:val="center"/>
            </w:pPr>
            <w:r>
              <w:t xml:space="preserve">56.82</w:t>
            </w:r>
          </w:p>
        </w:tc>
      </w:tr>
      <w:tr>
        <w:tc>
          <w:tcPr/>
          <w:p>
            <w:pPr>
              <w:pStyle w:val="Compact"/>
              <w:jc w:val="center"/>
            </w:pPr>
            <w:r>
              <w:t xml:space="preserve">Total equity</w:t>
            </w:r>
          </w:p>
        </w:tc>
        <w:tc>
          <w:tcPr/>
          <w:p>
            <w:pPr>
              <w:pStyle w:val="Compact"/>
              <w:jc w:val="center"/>
            </w:pPr>
            <w:r>
              <w:t xml:space="preserve">3,214.74</w:t>
            </w:r>
          </w:p>
        </w:tc>
        <w:tc>
          <w:tcPr/>
          <w:p>
            <w:pPr>
              <w:pStyle w:val="Compact"/>
              <w:jc w:val="center"/>
            </w:pPr>
            <w:r>
              <w:t xml:space="preserve">2,985.46</w:t>
            </w:r>
          </w:p>
        </w:tc>
        <w:tc>
          <w:tcPr/>
          <w:p>
            <w:pPr>
              <w:pStyle w:val="Compact"/>
              <w:jc w:val="center"/>
            </w:pPr>
            <w:r>
              <w:t xml:space="preserve">2,309.46</w:t>
            </w:r>
          </w:p>
        </w:tc>
        <w:tc>
          <w:tcPr/>
          <w:p>
            <w:pPr>
              <w:pStyle w:val="Compact"/>
              <w:jc w:val="center"/>
            </w:pPr>
            <w:r>
              <w:t xml:space="preserve">1,936.55</w:t>
            </w:r>
          </w:p>
        </w:tc>
      </w:tr>
      <w:tr>
        <w:tc>
          <w:tcPr/>
          <w:p>
            <w:pPr>
              <w:pStyle w:val="Compact"/>
              <w:jc w:val="center"/>
            </w:pPr>
            <w:r>
              <w:t xml:space="preserve">Net worth(1)</w:t>
            </w:r>
          </w:p>
        </w:tc>
        <w:tc>
          <w:tcPr/>
          <w:p>
            <w:pPr>
              <w:pStyle w:val="Compact"/>
              <w:jc w:val="center"/>
            </w:pPr>
            <w:r>
              <w:t xml:space="preserve">3,214.74</w:t>
            </w:r>
          </w:p>
        </w:tc>
        <w:tc>
          <w:tcPr/>
          <w:p>
            <w:pPr>
              <w:pStyle w:val="Compact"/>
              <w:jc w:val="center"/>
            </w:pPr>
            <w:r>
              <w:t xml:space="preserve">2,985.46</w:t>
            </w:r>
          </w:p>
        </w:tc>
        <w:tc>
          <w:tcPr/>
          <w:p>
            <w:pPr>
              <w:pStyle w:val="Compact"/>
              <w:jc w:val="center"/>
            </w:pPr>
            <w:r>
              <w:t xml:space="preserve">2,309.46</w:t>
            </w:r>
          </w:p>
        </w:tc>
        <w:tc>
          <w:tcPr/>
          <w:p>
            <w:pPr>
              <w:pStyle w:val="Compact"/>
              <w:jc w:val="center"/>
            </w:pPr>
            <w:r>
              <w:t xml:space="preserve">1,936.55</w:t>
            </w:r>
          </w:p>
        </w:tc>
      </w:tr>
      <w:tr>
        <w:tc>
          <w:tcPr/>
          <w:p>
            <w:pPr>
              <w:pStyle w:val="Compact"/>
              <w:jc w:val="center"/>
            </w:pPr>
            <w:r>
              <w:t xml:space="preserve">Return on Net worth</w:t>
            </w:r>
          </w:p>
        </w:tc>
        <w:tc>
          <w:tcPr/>
          <w:p>
            <w:pPr>
              <w:pStyle w:val="Compact"/>
              <w:jc w:val="center"/>
            </w:pPr>
            <w:r>
              <w:t xml:space="preserve">7.06%</w:t>
            </w:r>
          </w:p>
        </w:tc>
        <w:tc>
          <w:tcPr/>
          <w:p>
            <w:pPr>
              <w:pStyle w:val="Compact"/>
              <w:jc w:val="center"/>
            </w:pPr>
            <w:r>
              <w:t xml:space="preserve">22.77%</w:t>
            </w:r>
          </w:p>
        </w:tc>
        <w:tc>
          <w:tcPr/>
          <w:p>
            <w:pPr>
              <w:pStyle w:val="Compact"/>
              <w:jc w:val="center"/>
            </w:pPr>
            <w:r>
              <w:t xml:space="preserve">16.17%</w:t>
            </w:r>
          </w:p>
        </w:tc>
        <w:tc>
          <w:tcPr/>
          <w:p>
            <w:pPr>
              <w:pStyle w:val="Compact"/>
              <w:jc w:val="center"/>
            </w:pPr>
            <w:r>
              <w:t xml:space="preserve">13.74%</w:t>
            </w:r>
          </w:p>
        </w:tc>
      </w:tr>
      <w:tr>
        <w:tc>
          <w:tcPr/>
          <w:p>
            <w:pPr>
              <w:pStyle w:val="Compact"/>
              <w:jc w:val="center"/>
            </w:pPr>
            <w:r>
              <w:t xml:space="preserve">Revenue from operations</w:t>
            </w:r>
          </w:p>
        </w:tc>
        <w:tc>
          <w:tcPr/>
          <w:p>
            <w:pPr>
              <w:pStyle w:val="Compact"/>
              <w:jc w:val="center"/>
            </w:pPr>
            <w:r>
              <w:t xml:space="preserve">5,587.12</w:t>
            </w:r>
          </w:p>
        </w:tc>
        <w:tc>
          <w:tcPr/>
          <w:p>
            <w:pPr>
              <w:pStyle w:val="Compact"/>
              <w:jc w:val="center"/>
            </w:pPr>
            <w:r>
              <w:t xml:space="preserve">19,282.93</w:t>
            </w:r>
          </w:p>
        </w:tc>
        <w:tc>
          <w:tcPr/>
          <w:p>
            <w:pPr>
              <w:pStyle w:val="Compact"/>
              <w:jc w:val="center"/>
            </w:pPr>
            <w:r>
              <w:t xml:space="preserve">13,828.15</w:t>
            </w:r>
          </w:p>
        </w:tc>
        <w:tc>
          <w:tcPr/>
          <w:p>
            <w:pPr>
              <w:pStyle w:val="Compact"/>
              <w:jc w:val="center"/>
            </w:pPr>
            <w:r>
              <w:t xml:space="preserve">10,494.60</w:t>
            </w:r>
          </w:p>
        </w:tc>
      </w:tr>
      <w:tr>
        <w:tc>
          <w:tcPr/>
          <w:p>
            <w:pPr>
              <w:pStyle w:val="Compact"/>
              <w:jc w:val="center"/>
            </w:pPr>
            <w:r>
              <w:t xml:space="preserve">Restated profit for the year</w:t>
            </w:r>
          </w:p>
        </w:tc>
        <w:tc>
          <w:tcPr/>
          <w:p>
            <w:pPr>
              <w:pStyle w:val="Compact"/>
              <w:jc w:val="center"/>
            </w:pPr>
            <w:r>
              <w:t xml:space="preserve">226.81</w:t>
            </w:r>
          </w:p>
        </w:tc>
        <w:tc>
          <w:tcPr/>
          <w:p>
            <w:pPr>
              <w:pStyle w:val="Compact"/>
              <w:jc w:val="center"/>
            </w:pPr>
            <w:r>
              <w:t xml:space="preserve">679.88</w:t>
            </w:r>
          </w:p>
        </w:tc>
        <w:tc>
          <w:tcPr/>
          <w:p>
            <w:pPr>
              <w:pStyle w:val="Compact"/>
              <w:jc w:val="center"/>
            </w:pPr>
            <w:r>
              <w:t xml:space="preserve">373.50</w:t>
            </w:r>
          </w:p>
        </w:tc>
        <w:tc>
          <w:tcPr/>
          <w:p>
            <w:pPr>
              <w:pStyle w:val="Compact"/>
              <w:jc w:val="center"/>
            </w:pPr>
            <w:r>
              <w:t xml:space="preserve">266.13</w:t>
            </w:r>
          </w:p>
        </w:tc>
      </w:tr>
      <w:tr>
        <w:tc>
          <w:tcPr/>
          <w:p>
            <w:pPr>
              <w:pStyle w:val="Compact"/>
              <w:jc w:val="center"/>
            </w:pPr>
            <w:r>
              <w:t xml:space="preserve">Earnings per Equity Share (of face value of ₹5 each) *</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Basic(2)(4)</w:t>
            </w:r>
          </w:p>
        </w:tc>
        <w:tc>
          <w:tcPr/>
          <w:p>
            <w:pPr>
              <w:pStyle w:val="Compact"/>
              <w:jc w:val="center"/>
            </w:pPr>
            <w:r>
              <w:t xml:space="preserve">3.99</w:t>
            </w:r>
          </w:p>
        </w:tc>
        <w:tc>
          <w:tcPr/>
          <w:p>
            <w:pPr>
              <w:pStyle w:val="Compact"/>
              <w:jc w:val="center"/>
            </w:pPr>
            <w:r>
              <w:t xml:space="preserve">11.97</w:t>
            </w:r>
          </w:p>
        </w:tc>
        <w:tc>
          <w:tcPr/>
          <w:p>
            <w:pPr>
              <w:pStyle w:val="Compact"/>
              <w:jc w:val="center"/>
            </w:pPr>
            <w:r>
              <w:t xml:space="preserve">6.57</w:t>
            </w:r>
          </w:p>
        </w:tc>
        <w:tc>
          <w:tcPr/>
          <w:p>
            <w:pPr>
              <w:pStyle w:val="Compact"/>
              <w:jc w:val="center"/>
            </w:pPr>
            <w:r>
              <w:t xml:space="preserve">4.68</w:t>
            </w:r>
          </w:p>
        </w:tc>
      </w:tr>
      <w:tr>
        <w:tc>
          <w:tcPr/>
          <w:p>
            <w:pPr>
              <w:pStyle w:val="Compact"/>
              <w:jc w:val="center"/>
            </w:pPr>
            <w:r>
              <w:t xml:space="preserve">- Diluted(3)(4)</w:t>
            </w:r>
          </w:p>
        </w:tc>
        <w:tc>
          <w:tcPr/>
          <w:p>
            <w:pPr>
              <w:pStyle w:val="Compact"/>
              <w:jc w:val="center"/>
            </w:pPr>
            <w:r>
              <w:t xml:space="preserve">3.99</w:t>
            </w:r>
          </w:p>
        </w:tc>
        <w:tc>
          <w:tcPr/>
          <w:p>
            <w:pPr>
              <w:pStyle w:val="Compact"/>
              <w:jc w:val="center"/>
            </w:pPr>
            <w:r>
              <w:t xml:space="preserve">11.97</w:t>
            </w:r>
          </w:p>
        </w:tc>
        <w:tc>
          <w:tcPr/>
          <w:p>
            <w:pPr>
              <w:pStyle w:val="Compact"/>
              <w:jc w:val="center"/>
            </w:pPr>
            <w:r>
              <w:t xml:space="preserve">6.57</w:t>
            </w:r>
          </w:p>
        </w:tc>
        <w:tc>
          <w:tcPr/>
          <w:p>
            <w:pPr>
              <w:pStyle w:val="Compact"/>
              <w:jc w:val="center"/>
            </w:pPr>
            <w:r>
              <w:t xml:space="preserve">4.68</w:t>
            </w:r>
          </w:p>
        </w:tc>
      </w:tr>
    </w:tbl>
    <w:p/>
    <w:tbl>
      <w:tblPr>
        <w:tblStyle w:val="Table"/>
        <w:tblW w:type="pct" w:w="5000"/>
        <w:tblLook w:firstRow="0" w:lastRow="0" w:firstColumn="0" w:lastColumn="0" w:noHBand="0" w:noVBand="0" w:val="0000"/>
        <w:jc w:val="start"/>
      </w:tblPr>
      <w:tblGrid>
        <w:gridCol w:w="1584"/>
        <w:gridCol w:w="1584"/>
        <w:gridCol w:w="1584"/>
        <w:gridCol w:w="1584"/>
        <w:gridCol w:w="1584"/>
      </w:tblGrid>
      <w:tr>
        <w:tc>
          <w:tcPr/>
          <w:p>
            <w:pPr>
              <w:pStyle w:val="Compact"/>
              <w:jc w:val="center"/>
            </w:pPr>
            <w:r>
              <w:t xml:space="preserve">Particulars</w:t>
            </w:r>
          </w:p>
        </w:tc>
        <w:tc>
          <w:tcPr/>
          <w:p>
            <w:pPr>
              <w:pStyle w:val="Compact"/>
              <w:jc w:val="center"/>
            </w:pPr>
            <w:r>
              <w:t xml:space="preserve">As at and for the three-month period ended June 30, 2025</w:t>
            </w:r>
          </w:p>
        </w:tc>
        <w:tc>
          <w:tcPr/>
          <w:p>
            <w:pPr>
              <w:pStyle w:val="Compact"/>
              <w:jc w:val="center"/>
            </w:pPr>
            <w:r>
              <w:t xml:space="preserve">As at and for</w:t>
            </w:r>
          </w:p>
        </w:tc>
        <w:tc>
          <w:tcPr/>
          <w:p>
            <w:pPr>
              <w:pStyle w:val="Compact"/>
            </w:pPr>
          </w:p>
        </w:tc>
        <w:tc>
          <w:tcPr/>
          <w:p>
            <w:pPr>
              <w:pStyle w:val="Compact"/>
            </w:pPr>
          </w:p>
        </w:tc>
      </w:tr>
      <w:tr>
        <w:tc>
          <w:tcPr/>
          <w:p>
            <w:pPr>
              <w:pStyle w:val="Compact"/>
              <w:jc w:val="center"/>
            </w:pPr>
            <w:r>
              <w:t xml:space="preserve">Fiscal 2025</w:t>
            </w:r>
          </w:p>
        </w:tc>
        <w:tc>
          <w:tcPr/>
          <w:p>
            <w:pPr>
              <w:pStyle w:val="Compact"/>
              <w:jc w:val="center"/>
            </w:pPr>
            <w:r>
              <w:t xml:space="preserve">Fiscal 2024</w:t>
            </w:r>
          </w:p>
        </w:tc>
        <w:tc>
          <w:tcPr/>
          <w:p>
            <w:pPr>
              <w:pStyle w:val="Compact"/>
              <w:jc w:val="center"/>
            </w:pPr>
            <w:r>
              <w:t xml:space="preserve">Fiscal 2023</w:t>
            </w:r>
          </w:p>
        </w:tc>
        <w:tc>
          <w:tcPr/>
          <w:p>
            <w:pPr>
              <w:pStyle w:val="Compact"/>
            </w:pPr>
          </w:p>
        </w:tc>
        <w:tc>
          <w:tcPr/>
          <w:p>
            <w:pPr>
              <w:pStyle w:val="Compact"/>
            </w:pPr>
          </w:p>
        </w:tc>
      </w:tr>
      <w:tr>
        <w:tc>
          <w:tcPr/>
          <w:p>
            <w:pPr>
              <w:pStyle w:val="Compact"/>
              <w:jc w:val="center"/>
            </w:pPr>
            <w:r>
              <w:t xml:space="preserve">Net Asset Value per Equity Share(5)</w:t>
            </w:r>
          </w:p>
        </w:tc>
        <w:tc>
          <w:tcPr/>
          <w:p>
            <w:pPr>
              <w:pStyle w:val="Compact"/>
              <w:jc w:val="center"/>
            </w:pPr>
            <w:r>
              <w:t xml:space="preserve">56.58</w:t>
            </w:r>
          </w:p>
        </w:tc>
        <w:tc>
          <w:tcPr/>
          <w:p>
            <w:pPr>
              <w:pStyle w:val="Compact"/>
              <w:jc w:val="center"/>
            </w:pPr>
            <w:r>
              <w:t xml:space="preserve">52.54</w:t>
            </w:r>
          </w:p>
        </w:tc>
        <w:tc>
          <w:tcPr/>
          <w:p>
            <w:pPr>
              <w:pStyle w:val="Compact"/>
              <w:jc w:val="center"/>
            </w:pPr>
            <w:r>
              <w:t xml:space="preserve">40.65</w:t>
            </w:r>
          </w:p>
        </w:tc>
        <w:tc>
          <w:tcPr/>
          <w:p>
            <w:pPr>
              <w:pStyle w:val="Compact"/>
              <w:jc w:val="center"/>
            </w:pPr>
            <w:r>
              <w:t xml:space="preserve">34.08</w:t>
            </w:r>
          </w:p>
        </w:tc>
      </w:tr>
      <w:tr>
        <w:tc>
          <w:tcPr/>
          <w:p>
            <w:pPr>
              <w:pStyle w:val="Compact"/>
              <w:jc w:val="center"/>
            </w:pPr>
            <w:r>
              <w:t xml:space="preserve">Total borrowings(6)</w:t>
            </w:r>
          </w:p>
        </w:tc>
        <w:tc>
          <w:tcPr/>
          <w:p>
            <w:pPr>
              <w:pStyle w:val="Compact"/>
              <w:jc w:val="center"/>
            </w:pPr>
            <w:r>
              <w:t xml:space="preserve">3,793.94</w:t>
            </w:r>
          </w:p>
        </w:tc>
        <w:tc>
          <w:tcPr/>
          <w:p>
            <w:pPr>
              <w:pStyle w:val="Compact"/>
              <w:jc w:val="center"/>
            </w:pPr>
            <w:r>
              <w:t xml:space="preserve">3,600.49</w:t>
            </w:r>
          </w:p>
        </w:tc>
        <w:tc>
          <w:tcPr/>
          <w:p>
            <w:pPr>
              <w:pStyle w:val="Compact"/>
              <w:jc w:val="center"/>
            </w:pPr>
            <w:r>
              <w:t xml:space="preserve">2,068.08</w:t>
            </w:r>
          </w:p>
        </w:tc>
        <w:tc>
          <w:tcPr/>
          <w:p>
            <w:pPr>
              <w:pStyle w:val="Compact"/>
              <w:jc w:val="center"/>
            </w:pPr>
            <w:r>
              <w:t xml:space="preserve">1,203.54</w:t>
            </w:r>
          </w:p>
        </w:tc>
      </w:tr>
    </w:tbl>
    <w:p>
      <w:pPr>
        <w:pStyle w:val="BodyText"/>
      </w:pPr>
      <w:r>
        <w:t xml:space="preserve">*Not annualised for period ended June 30, 2025. Notes:</w:t>
      </w:r>
    </w:p>
    <w:p>
      <w:pPr>
        <w:pStyle w:val="BodyText"/>
      </w:pPr>
      <w:r>
        <w:t xml:space="preserve">Net worth means the aggregate value of the paid up share capital of the Company and all reserves created out of profits and securities premium account and debit or credit balance of profit and loss account, after deducting the aggregate value of the accumulated losses, miscellaneous expenditure not written off, as per the restated balance sheet, but does not include reserves created out of revaluation of assets, capital reserve, foreign currency translation reserve, write-back of depreciation as at period /year end, as per Restated Financial Statements of Assets and Liabilities of the Company.</w:t>
      </w:r>
    </w:p>
    <w:p>
      <w:pPr>
        <w:pStyle w:val="BodyText"/>
      </w:pPr>
      <w:r>
        <w:t xml:space="preserve">Earnings per Equity Share (Basic) = restated profit attributable to the equity holders / weighted average number of equity shares.</w:t>
      </w:r>
    </w:p>
    <w:p>
      <w:pPr>
        <w:pStyle w:val="BodyText"/>
      </w:pPr>
      <w:r>
        <w:t xml:space="preserve">Earnings per Equity Share (Diluted) = restated profit attributable to the equity holders / weighted average number of equity shares adjusted for the effects of dilution.</w:t>
      </w:r>
    </w:p>
    <w:p>
      <w:pPr>
        <w:pStyle w:val="BodyText"/>
      </w:pPr>
      <w:r>
        <w:t xml:space="preserve">Basic EPS and Soylent Corp calculations are in accordance with Hooli Inc 33</w:t>
      </w:r>
      <w:r>
        <w:t xml:space="preserve"> </w:t>
      </w:r>
      <w:r>
        <w:t xml:space="preserve">‘</w:t>
      </w:r>
      <w:r>
        <w:t xml:space="preserve">Earnings per Share</w:t>
      </w:r>
      <w:r>
        <w:t xml:space="preserve">’</w:t>
      </w:r>
      <w:r>
        <w:t xml:space="preserve">. The Split of Equity Shares and Wayne Enterprises are retrospectively considered for the computation of weighted average number of equity shares outstanding during the period, in accordance with Ind AS 33.</w:t>
      </w:r>
    </w:p>
    <w:p>
      <w:pPr>
        <w:pStyle w:val="BodyText"/>
      </w:pPr>
      <w:r>
        <w:t xml:space="preserve">Net Asset Value per Equity share is calculated as Equity attributable to owners of Stark Industries divided by Weighted average number of shares outstanding during the year as adjusted for Split of Equity Shares and Bonus Issue.</w:t>
      </w:r>
    </w:p>
    <w:p>
      <w:pPr>
        <w:pStyle w:val="BodyText"/>
      </w:pPr>
      <w:r>
        <w:t xml:space="preserve">Total borrowings are computed as current borrowings plus non-current borrowings.</w:t>
      </w:r>
    </w:p>
    <w:p>
      <w:pPr>
        <w:pStyle w:val="BodyText"/>
      </w:pPr>
      <w:r>
        <w:t xml:space="preserve">For further details, see</w:t>
      </w:r>
      <w:r>
        <w:t xml:space="preserve"> </w:t>
      </w:r>
      <w:r>
        <w:t xml:space="preserve">“</w:t>
      </w:r>
      <w:r>
        <w:t xml:space="preserve">Restated Financial Statements</w:t>
      </w:r>
      <w:r>
        <w:t xml:space="preserve">”</w:t>
      </w:r>
      <w:r>
        <w:t xml:space="preserve"> </w:t>
      </w:r>
      <w:r>
        <w:t xml:space="preserve">on page 280.</w:t>
      </w:r>
    </w:p>
    <w:p>
      <w:pPr>
        <w:pStyle w:val="BodyText"/>
      </w:pPr>
      <w:r>
        <w:t xml:space="preserve">Qualifications of the Statutory Auditors which have not been given effect to in the Restated Financial Statements</w:t>
      </w:r>
    </w:p>
    <w:p>
      <w:pPr>
        <w:pStyle w:val="BodyText"/>
      </w:pPr>
      <w:r>
        <w:t xml:space="preserve">There are no qualifications included by the Statutory Auditors in their audit reports and hence no effect is required to be given in the Restated Financial Statements.</w:t>
      </w:r>
    </w:p>
    <w:p>
      <w:pPr>
        <w:pStyle w:val="BodyText"/>
      </w:pPr>
      <w:r>
        <w:t xml:space="preserve">Summary of outstanding litigations</w:t>
      </w:r>
    </w:p>
    <w:p>
      <w:pPr>
        <w:pStyle w:val="BodyText"/>
      </w:pPr>
      <w:r>
        <w:t xml:space="preserve">A summary of outstanding litigation proceedings involving our Company, our Directors, our Promoters, our KMPs and Senior Management in accordance with the SEBI ICDR Regulations and the Materiality Policy as on the date of this Red Herring Prospectus, is provided below:</w:t>
      </w:r>
    </w:p>
    <w:tbl>
      <w:tblPr>
        <w:tblStyle w:val="Table"/>
        <w:tblW w:type="pct" w:w="5000"/>
        <w:tblLook w:firstRow="0" w:lastRow="0" w:firstColumn="0" w:lastColumn="0" w:noHBand="0" w:noVBand="0" w:val="0000"/>
        <w:jc w:val="start"/>
      </w:tblPr>
      <w:tblGrid>
        <w:gridCol w:w="1131"/>
        <w:gridCol w:w="1131"/>
        <w:gridCol w:w="1131"/>
        <w:gridCol w:w="1131"/>
        <w:gridCol w:w="1131"/>
        <w:gridCol w:w="1131"/>
        <w:gridCol w:w="1131"/>
      </w:tblGrid>
      <w:tr>
        <w:tc>
          <w:tcPr/>
          <w:p>
            <w:pPr>
              <w:pStyle w:val="Compact"/>
              <w:jc w:val="center"/>
            </w:pPr>
            <w:r>
              <w:t xml:space="preserve">Name of entity</w:t>
            </w:r>
          </w:p>
        </w:tc>
        <w:tc>
          <w:tcPr/>
          <w:p>
            <w:pPr>
              <w:pStyle w:val="Compact"/>
              <w:jc w:val="center"/>
            </w:pPr>
            <w:r>
              <w:t xml:space="preserve">Criminal proceedings</w:t>
            </w:r>
          </w:p>
        </w:tc>
        <w:tc>
          <w:tcPr/>
          <w:p>
            <w:pPr>
              <w:pStyle w:val="Compact"/>
              <w:jc w:val="center"/>
            </w:pPr>
            <w:r>
              <w:t xml:space="preserve">Tax proceedings</w:t>
            </w:r>
          </w:p>
        </w:tc>
        <w:tc>
          <w:tcPr/>
          <w:p>
            <w:pPr>
              <w:pStyle w:val="Compact"/>
              <w:jc w:val="center"/>
            </w:pPr>
            <w:r>
              <w:t xml:space="preserve">Statutory or regulatory proceedings</w:t>
            </w:r>
          </w:p>
        </w:tc>
        <w:tc>
          <w:tcPr/>
          <w:p>
            <w:pPr>
              <w:pStyle w:val="Compact"/>
              <w:jc w:val="center"/>
            </w:pPr>
            <w:r>
              <w:t xml:space="preserve">Disciplinary actions by the SEBI or Stock Exchangesagainst our Promoters</w:t>
            </w:r>
          </w:p>
        </w:tc>
        <w:tc>
          <w:tcPr/>
          <w:p>
            <w:pPr>
              <w:pStyle w:val="Compact"/>
              <w:jc w:val="center"/>
            </w:pPr>
            <w:r>
              <w:t xml:space="preserve">Material civil litigations#</w:t>
            </w:r>
          </w:p>
        </w:tc>
        <w:tc>
          <w:tcPr/>
          <w:p>
            <w:pPr>
              <w:pStyle w:val="Compact"/>
              <w:jc w:val="center"/>
            </w:pPr>
            <w:r>
              <w:t xml:space="preserve">Aggregate amount involved* (₹ in million)</w:t>
            </w:r>
          </w:p>
        </w:tc>
      </w:tr>
      <w:tr>
        <w:tc>
          <w:tcPr/>
          <w:p>
            <w:pPr>
              <w:pStyle w:val="Compact"/>
              <w:jc w:val="center"/>
            </w:pPr>
            <w:r>
              <w:t xml:space="preserve">Company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By our Company</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0</w:t>
            </w:r>
          </w:p>
        </w:tc>
        <w:tc>
          <w:tcPr/>
          <w:p>
            <w:pPr>
              <w:pStyle w:val="Compact"/>
              <w:jc w:val="center"/>
            </w:pPr>
            <w:r>
              <w:t xml:space="preserve">11.54</w:t>
            </w:r>
          </w:p>
        </w:tc>
      </w:tr>
      <w:tr>
        <w:tc>
          <w:tcPr/>
          <w:p>
            <w:pPr>
              <w:pStyle w:val="Compact"/>
              <w:jc w:val="center"/>
            </w:pPr>
            <w:r>
              <w:t xml:space="preserve">Against our Company</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N.A.</w:t>
            </w:r>
          </w:p>
        </w:tc>
        <w:tc>
          <w:tcPr/>
          <w:p>
            <w:pPr>
              <w:pStyle w:val="Compact"/>
              <w:jc w:val="center"/>
            </w:pPr>
            <w:r>
              <w:t xml:space="preserve">0</w:t>
            </w:r>
          </w:p>
        </w:tc>
        <w:tc>
          <w:tcPr/>
          <w:p>
            <w:pPr>
              <w:pStyle w:val="Compact"/>
              <w:jc w:val="center"/>
            </w:pPr>
            <w:r>
              <w:t xml:space="preserve">0.00</w:t>
            </w:r>
          </w:p>
        </w:tc>
      </w:tr>
      <w:tr>
        <w:tc>
          <w:tcPr/>
          <w:p>
            <w:pPr>
              <w:pStyle w:val="Compact"/>
              <w:jc w:val="center"/>
            </w:pPr>
            <w:r>
              <w:t xml:space="preserve">Directors (excluding our Promoters)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By our Directors</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2</w:t>
            </w:r>
          </w:p>
        </w:tc>
        <w:tc>
          <w:tcPr/>
          <w:p>
            <w:pPr>
              <w:pStyle w:val="Compact"/>
              <w:jc w:val="center"/>
            </w:pPr>
            <w:r>
              <w:t xml:space="preserve">1,360.00</w:t>
            </w:r>
          </w:p>
        </w:tc>
      </w:tr>
      <w:tr>
        <w:tc>
          <w:tcPr/>
          <w:p>
            <w:pPr>
              <w:pStyle w:val="Compact"/>
              <w:jc w:val="center"/>
            </w:pPr>
            <w:r>
              <w:t xml:space="preserve">Against our Directors</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N.A.</w:t>
            </w:r>
          </w:p>
        </w:tc>
        <w:tc>
          <w:tcPr/>
          <w:p>
            <w:pPr>
              <w:pStyle w:val="Compact"/>
              <w:jc w:val="center"/>
            </w:pPr>
            <w:r>
              <w:t xml:space="preserve">0</w:t>
            </w:r>
          </w:p>
        </w:tc>
        <w:tc>
          <w:tcPr/>
          <w:p>
            <w:pPr>
              <w:pStyle w:val="Compact"/>
              <w:jc w:val="center"/>
            </w:pPr>
            <w:r>
              <w:t xml:space="preserve">0.73</w:t>
            </w:r>
          </w:p>
        </w:tc>
      </w:tr>
      <w:tr>
        <w:tc>
          <w:tcPr/>
          <w:p>
            <w:pPr>
              <w:pStyle w:val="Compact"/>
              <w:jc w:val="center"/>
            </w:pPr>
            <w:r>
              <w:t xml:space="preserve">Promoters (including the Executive Directors who are also our Promoters)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By our Promoters</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1</w:t>
            </w:r>
          </w:p>
        </w:tc>
        <w:tc>
          <w:tcPr/>
          <w:p>
            <w:pPr>
              <w:pStyle w:val="Compact"/>
              <w:jc w:val="center"/>
            </w:pPr>
            <w:r>
              <w:t xml:space="preserve">50.00</w:t>
            </w:r>
          </w:p>
        </w:tc>
      </w:tr>
      <w:tr>
        <w:tc>
          <w:tcPr/>
          <w:p>
            <w:pPr>
              <w:pStyle w:val="Compact"/>
              <w:jc w:val="center"/>
            </w:pPr>
            <w:r>
              <w:t xml:space="preserve">Against our Promoters</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2.78</w:t>
            </w:r>
          </w:p>
        </w:tc>
      </w:tr>
      <w:tr>
        <w:tc>
          <w:tcPr/>
          <w:p>
            <w:pPr>
              <w:pStyle w:val="Compact"/>
              <w:jc w:val="center"/>
            </w:pPr>
            <w:r>
              <w:t xml:space="preserve">Key Managerial Personnel (</w:t>
            </w:r>
            <w:r>
              <w:t xml:space="preserve">“</w:t>
            </w:r>
            <w:r>
              <w:t xml:space="preserve">KMPs</w:t>
            </w:r>
            <w:r>
              <w:t xml:space="preserve">”</w:t>
            </w:r>
            <w:r>
              <w:t xml:space="preserve">) (excluding our Executive Directors) (1)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By our KMPs</w:t>
            </w:r>
          </w:p>
        </w:tc>
        <w:tc>
          <w:tcPr/>
          <w:p>
            <w:pPr>
              <w:pStyle w:val="Compact"/>
              <w:jc w:val="center"/>
            </w:pPr>
            <w:r>
              <w:t xml:space="preserve">0</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0.00</w:t>
            </w:r>
          </w:p>
        </w:tc>
      </w:tr>
      <w:tr>
        <w:tc>
          <w:tcPr/>
          <w:p>
            <w:pPr>
              <w:pStyle w:val="Compact"/>
              <w:jc w:val="center"/>
            </w:pPr>
            <w:r>
              <w:t xml:space="preserve">Against our KMPs</w:t>
            </w:r>
          </w:p>
        </w:tc>
        <w:tc>
          <w:tcPr/>
          <w:p>
            <w:pPr>
              <w:pStyle w:val="Compact"/>
              <w:jc w:val="center"/>
            </w:pPr>
            <w:r>
              <w:t xml:space="preserve">0</w:t>
            </w:r>
          </w:p>
        </w:tc>
        <w:tc>
          <w:tcPr/>
          <w:p>
            <w:pPr>
              <w:pStyle w:val="Compact"/>
              <w:jc w:val="center"/>
            </w:pPr>
            <w:r>
              <w:t xml:space="preserve">N.A.</w:t>
            </w:r>
          </w:p>
        </w:tc>
        <w:tc>
          <w:tcPr/>
          <w:p>
            <w:pPr>
              <w:pStyle w:val="Compact"/>
              <w:jc w:val="center"/>
            </w:pPr>
            <w:r>
              <w:t xml:space="preserve">0</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0.00</w:t>
            </w:r>
          </w:p>
        </w:tc>
      </w:tr>
      <w:tr>
        <w:tc>
          <w:tcPr/>
          <w:p>
            <w:pPr>
              <w:pStyle w:val="Compact"/>
              <w:jc w:val="center"/>
            </w:pPr>
            <w:r>
              <w:t xml:space="preserve">Senior Management (</w:t>
            </w:r>
            <w:r>
              <w:t xml:space="preserve">“</w:t>
            </w:r>
            <w:r>
              <w:t xml:space="preserve">SM</w:t>
            </w:r>
            <w:r>
              <w:t xml:space="preserve">”</w:t>
            </w:r>
            <w:r>
              <w:t xml:space="preserve">) (excluding our KMPs)(2)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By our SMs</w:t>
            </w:r>
          </w:p>
        </w:tc>
        <w:tc>
          <w:tcPr/>
          <w:p>
            <w:pPr>
              <w:pStyle w:val="Compact"/>
              <w:jc w:val="center"/>
            </w:pPr>
            <w:r>
              <w:t xml:space="preserve">0</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0.00</w:t>
            </w:r>
          </w:p>
        </w:tc>
      </w:tr>
      <w:tr>
        <w:tc>
          <w:tcPr/>
          <w:p>
            <w:pPr>
              <w:pStyle w:val="Compact"/>
              <w:jc w:val="center"/>
            </w:pPr>
            <w:r>
              <w:t xml:space="preserve">Against our SMs</w:t>
            </w:r>
          </w:p>
        </w:tc>
        <w:tc>
          <w:tcPr/>
          <w:p>
            <w:pPr>
              <w:pStyle w:val="Compact"/>
              <w:jc w:val="center"/>
            </w:pPr>
            <w:r>
              <w:t xml:space="preserve">0</w:t>
            </w:r>
          </w:p>
        </w:tc>
        <w:tc>
          <w:tcPr/>
          <w:p>
            <w:pPr>
              <w:pStyle w:val="Compact"/>
              <w:jc w:val="center"/>
            </w:pPr>
            <w:r>
              <w:t xml:space="preserve">N.A.</w:t>
            </w:r>
          </w:p>
        </w:tc>
        <w:tc>
          <w:tcPr/>
          <w:p>
            <w:pPr>
              <w:pStyle w:val="Compact"/>
              <w:jc w:val="center"/>
            </w:pPr>
            <w:r>
              <w:t xml:space="preserve">0</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0.00</w:t>
            </w:r>
          </w:p>
        </w:tc>
      </w:tr>
    </w:tbl>
    <w:p>
      <w:pPr>
        <w:pStyle w:val="BodyText"/>
      </w:pPr>
      <w:r>
        <w:t xml:space="preserve">* To the extent quantifiable.</w:t>
      </w:r>
    </w:p>
    <w:p>
      <w:pPr>
        <w:pStyle w:val="BodyText"/>
      </w:pPr>
      <w:r>
        <w:t xml:space="preserve"># Determined in accordance with the Materiality Policy. Notes:</w:t>
      </w:r>
    </w:p>
    <w:p>
      <w:pPr>
        <w:pStyle w:val="BodyText"/>
      </w:pPr>
      <w:r>
        <w:t xml:space="preserve">Certain of our KMPs including, Mary Brown, Mary Lee, Mary Smith and Umbrella Ltd are also our Executive Directors. Hence, litigation against our Acme Corp have not been included under the heading of KMPs to avoid repetition.</w:t>
      </w:r>
    </w:p>
    <w:p>
      <w:pPr>
        <w:pStyle w:val="BodyText"/>
      </w:pPr>
      <w:r>
        <w:t xml:space="preserve">Certain of our SMs including, Alex Johnson, CEO, Alex Smith, CFO, Peter Young, CS and Compliance Officer, and Wonka Ltd, Technical Director, are also our KMPs. Hence, litigation against our KMPs have not been included under the heading of SMs to avoid repetition.</w:t>
      </w:r>
    </w:p>
    <w:p>
      <w:pPr>
        <w:pStyle w:val="BodyText"/>
      </w:pPr>
      <w:r>
        <w:t xml:space="preserve">Further, as on the date of this Red Herring Prospectus, there are no outstanding litigation involving our Vandelay Industries which may have a material impact on our Company.</w:t>
      </w:r>
    </w:p>
    <w:p>
      <w:pPr>
        <w:pStyle w:val="BodyText"/>
      </w:pPr>
      <w:r>
        <w:t xml:space="preserve">For further details, see</w:t>
      </w:r>
      <w:r>
        <w:t xml:space="preserve"> </w:t>
      </w:r>
      <w:r>
        <w:t xml:space="preserve">“</w:t>
      </w:r>
      <w:r>
        <w:t xml:space="preserve">Outstanding Litigation and Material Developments</w:t>
      </w:r>
      <w:r>
        <w:t xml:space="preserve">”</w:t>
      </w:r>
      <w:r>
        <w:t xml:space="preserve"> </w:t>
      </w:r>
      <w:r>
        <w:t xml:space="preserve">on page 388.</w:t>
      </w:r>
    </w:p>
    <w:p>
      <w:pPr>
        <w:pStyle w:val="BodyText"/>
      </w:pPr>
      <w:r>
        <w:t xml:space="preserve">Risk Factors</w:t>
      </w:r>
    </w:p>
    <w:p>
      <w:pPr>
        <w:pStyle w:val="BodyText"/>
      </w:pPr>
      <w:r>
        <w:t xml:space="preserve">Specific attention of Bidders is invited to the section</w:t>
      </w:r>
      <w:r>
        <w:t xml:space="preserve"> </w:t>
      </w:r>
      <w:r>
        <w:t xml:space="preserve">“</w:t>
      </w:r>
      <w:r>
        <w:t xml:space="preserve">Risk Factors</w:t>
      </w:r>
      <w:r>
        <w:t xml:space="preserve">”</w:t>
      </w:r>
      <w:r>
        <w:t xml:space="preserve"> </w:t>
      </w:r>
      <w:r>
        <w:t xml:space="preserve">on page 28. Bidders are advised to read the risk factors carefully before taking an investment decision in the Offer. Set forth below are the top 10 risk factors applicable to our Company:</w:t>
      </w:r>
    </w:p>
    <w:tbl>
      <w:tblPr>
        <w:tblStyle w:val="Table"/>
        <w:tblW w:type="pct" w:w="5000"/>
        <w:tblLook w:firstRow="0" w:lastRow="0" w:firstColumn="0" w:lastColumn="0" w:noHBand="0" w:noVBand="0" w:val="0000"/>
        <w:jc w:val="start"/>
      </w:tblPr>
      <w:tblGrid>
        <w:gridCol w:w="3960"/>
        <w:gridCol w:w="3960"/>
      </w:tblGrid>
      <w:tr>
        <w:tc>
          <w:tcPr/>
          <w:p>
            <w:pPr>
              <w:pStyle w:val="Compact"/>
              <w:jc w:val="center"/>
            </w:pPr>
            <w:r>
              <w:t xml:space="preserve">S. No.</w:t>
            </w:r>
          </w:p>
        </w:tc>
        <w:tc>
          <w:tcPr/>
          <w:p>
            <w:pPr>
              <w:pStyle w:val="Compact"/>
              <w:jc w:val="center"/>
            </w:pPr>
            <w:r>
              <w:t xml:space="preserve">Description of Risk</w:t>
            </w:r>
          </w:p>
        </w:tc>
      </w:tr>
      <w:tr>
        <w:tc>
          <w:tcPr/>
          <w:p>
            <w:pPr>
              <w:pStyle w:val="Compact"/>
              <w:jc w:val="center"/>
            </w:pPr>
            <w:r>
              <w:t xml:space="preserve">1.</w:t>
            </w:r>
          </w:p>
        </w:tc>
        <w:tc>
          <w:tcPr/>
          <w:p>
            <w:pPr>
              <w:pStyle w:val="Compact"/>
              <w:jc w:val="center"/>
            </w:pPr>
            <w:r>
              <w:t xml:space="preserve">We depend on certain customers for a significant portion of our revenue from operations. Our top 10 customers contributed to 53.97%, 52.54%, 57.10% and 58.99% of our revenue from operations for the three-month period ended June 30, 2025, and Fiscals 2025, 2024 and 2023, respectively. Any decrease in demand from such customers, the loss of such customers or our inability to diversify our customer base could have an adverse effect on our business, results of operations, financial condition and cashflows.</w:t>
            </w:r>
          </w:p>
        </w:tc>
      </w:tr>
      <w:tr>
        <w:tc>
          <w:tcPr/>
          <w:p>
            <w:pPr>
              <w:pStyle w:val="Compact"/>
              <w:jc w:val="center"/>
            </w:pPr>
            <w:r>
              <w:t xml:space="preserve">2.</w:t>
            </w:r>
          </w:p>
        </w:tc>
        <w:tc>
          <w:tcPr/>
          <w:p>
            <w:pPr>
              <w:pStyle w:val="Compact"/>
              <w:jc w:val="center"/>
            </w:pPr>
            <w:r>
              <w:t xml:space="preserve">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lossof suppliers or interruptions in the timely delivery of raw materials or volatility in their prices could have an adverse impact on our business, financial condition, cash flows and results of operations.</w:t>
            </w:r>
          </w:p>
        </w:tc>
      </w:tr>
      <w:tr>
        <w:tc>
          <w:tcPr/>
          <w:p>
            <w:pPr>
              <w:pStyle w:val="Compact"/>
              <w:jc w:val="center"/>
            </w:pPr>
            <w:r>
              <w:t xml:space="preserve">3.</w:t>
            </w:r>
          </w:p>
        </w:tc>
        <w:tc>
          <w:tcPr/>
          <w:p>
            <w:pPr>
              <w:pStyle w:val="Compact"/>
              <w:jc w:val="center"/>
            </w:pPr>
            <w:r>
              <w:t xml:space="preserve">Any shortfall in the supply or availability of raw materials including aluminium or copper, which are our primary raw materials (and copper also being our principal raw material), or insulating materials, such as enamel and paper, or an increase in our such material costs, or other input costs, may adversely affect the pricing and supply of our products and have an adverse effect on ourbusiness, results of operations and financial condition.</w:t>
            </w:r>
          </w:p>
        </w:tc>
      </w:tr>
      <w:tr>
        <w:tc>
          <w:tcPr/>
          <w:p>
            <w:pPr>
              <w:pStyle w:val="Compact"/>
              <w:jc w:val="center"/>
            </w:pPr>
            <w:r>
              <w:t xml:space="preserve">4.</w:t>
            </w:r>
          </w:p>
        </w:tc>
        <w:tc>
          <w:tcPr/>
          <w:p>
            <w:pPr>
              <w:pStyle w:val="Compact"/>
              <w:jc w:val="center"/>
            </w:pPr>
            <w:r>
              <w:t xml:space="preserve">A significant portion of our revenue from operations i.e. 71.73%, 74.79%, 75.17% and 79.08% of our operating revenue for the three-month period ended June 30, 2025 and Fiscals 2025, 2024 and 2023, respectively is attributable to the power sector (generation, transmission and distribution) industry (</w:t>
            </w:r>
            <w:r>
              <w:t xml:space="preserve">“</w:t>
            </w:r>
            <w:r>
              <w:t xml:space="preserve">Power Sector</w:t>
            </w:r>
            <w:r>
              <w:t xml:space="preserve">”</w:t>
            </w:r>
            <w:r>
              <w:t xml:space="preserve">). Any economic cyclicality coupled with reduced demand or negative trend in the Power Sector industry or other industries that we operate in, could adversely affect our business, resultsof operations and financial condition.</w:t>
            </w:r>
          </w:p>
        </w:tc>
      </w:tr>
      <w:tr>
        <w:tc>
          <w:tcPr/>
          <w:p>
            <w:pPr>
              <w:pStyle w:val="Compact"/>
              <w:jc w:val="center"/>
            </w:pPr>
            <w:r>
              <w:t xml:space="preserve">5.</w:t>
            </w:r>
          </w:p>
        </w:tc>
        <w:tc>
          <w:tcPr/>
          <w:p>
            <w:pPr>
              <w:pStyle w:val="Compact"/>
              <w:jc w:val="center"/>
            </w:pPr>
            <w:r>
              <w:t xml:space="preserve">We derive a substantial portion of our revenue (more than 70% in each of the three-month period ended June 30, 2025, andFiscals 2025, 2024 and 2023) from the sale of specialized magnet winding wires. Any reduction in demand for our key products would have a material adverse effect on our business, financial condition, results of operations and cash flows.</w:t>
            </w:r>
          </w:p>
        </w:tc>
      </w:tr>
      <w:tr>
        <w:tc>
          <w:tcPr/>
          <w:p>
            <w:pPr>
              <w:pStyle w:val="Compact"/>
              <w:jc w:val="center"/>
            </w:pPr>
            <w:r>
              <w:t xml:space="preserve">6.</w:t>
            </w:r>
          </w:p>
        </w:tc>
        <w:tc>
          <w:tcPr/>
          <w:p>
            <w:pPr>
              <w:pStyle w:val="Compact"/>
              <w:jc w:val="center"/>
            </w:pPr>
            <w:r>
              <w:t xml:space="preserve">We have not yet placed orders in relation to the capital expenditure to be incurred for certain of our proposed objects of the Offer. In the event of any delay in placing the orders, or in the event the vendors are not able to provide the requisite equipment in atimely manner, or at all, the same may result in time and cost over-runs.</w:t>
            </w:r>
          </w:p>
        </w:tc>
      </w:tr>
      <w:tr>
        <w:tc>
          <w:tcPr/>
          <w:p>
            <w:pPr>
              <w:pStyle w:val="Compact"/>
              <w:jc w:val="center"/>
            </w:pPr>
            <w:r>
              <w:t xml:space="preserve">7.</w:t>
            </w:r>
          </w:p>
        </w:tc>
        <w:tc>
          <w:tcPr/>
          <w:p>
            <w:pPr>
              <w:pStyle w:val="Compact"/>
              <w:jc w:val="center"/>
            </w:pPr>
            <w:r>
              <w:t xml:space="preserve">Our operations are significantly dependent on our manufacturing facilities. Any unscheduled, unplanned or prolonged disruption, slowdown or shutdown of our manufacturing facilities could have a material adverse effect on our business, financial condition,cash flows and results of operations.</w:t>
            </w:r>
          </w:p>
        </w:tc>
      </w:tr>
      <w:tr>
        <w:tc>
          <w:tcPr/>
          <w:p>
            <w:pPr>
              <w:pStyle w:val="Compact"/>
              <w:jc w:val="center"/>
            </w:pPr>
            <w:r>
              <w:t xml:space="preserve">8.</w:t>
            </w:r>
          </w:p>
        </w:tc>
        <w:tc>
          <w:tcPr/>
          <w:p>
            <w:pPr>
              <w:pStyle w:val="Compact"/>
              <w:jc w:val="center"/>
            </w:pPr>
            <w:r>
              <w:t xml:space="preserve">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tc>
      </w:tr>
      <w:tr>
        <w:tc>
          <w:tcPr/>
          <w:p>
            <w:pPr>
              <w:pStyle w:val="Compact"/>
              <w:jc w:val="center"/>
            </w:pPr>
            <w:r>
              <w:t xml:space="preserve">9.</w:t>
            </w:r>
          </w:p>
        </w:tc>
        <w:tc>
          <w:tcPr/>
          <w:p>
            <w:pPr>
              <w:pStyle w:val="Compact"/>
              <w:jc w:val="center"/>
            </w:pPr>
            <w:r>
              <w:t xml:space="preserve">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tc>
      </w:tr>
      <w:tr>
        <w:tc>
          <w:tcPr/>
          <w:p>
            <w:pPr>
              <w:pStyle w:val="Compact"/>
              <w:jc w:val="center"/>
            </w:pPr>
            <w:r>
              <w:t xml:space="preserve">10.</w:t>
            </w:r>
          </w:p>
        </w:tc>
        <w:tc>
          <w:tcPr/>
          <w:p>
            <w:pPr>
              <w:pStyle w:val="Compact"/>
              <w:jc w:val="center"/>
            </w:pPr>
            <w:r>
              <w:t xml:space="preserve">We export our products to various countries and our revenue from outside India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ourbusiness, revenue operations, financial condition and cash flows.</w:t>
            </w:r>
          </w:p>
        </w:tc>
      </w:tr>
    </w:tbl>
    <w:p>
      <w:pPr>
        <w:pStyle w:val="BodyText"/>
      </w:pPr>
      <w:r>
        <w:t xml:space="preserve">For further details, see</w:t>
      </w:r>
      <w:r>
        <w:t xml:space="preserve"> </w:t>
      </w:r>
      <w:r>
        <w:t xml:space="preserve">“</w:t>
      </w:r>
      <w:r>
        <w:t xml:space="preserve">Risk Factors</w:t>
      </w:r>
      <w:r>
        <w:t xml:space="preserve">”</w:t>
      </w:r>
      <w:r>
        <w:t xml:space="preserve"> </w:t>
      </w:r>
      <w:r>
        <w:t xml:space="preserve">on page 28.</w:t>
      </w:r>
    </w:p>
    <w:p>
      <w:pPr>
        <w:pStyle w:val="BodyText"/>
      </w:pPr>
      <w:r>
        <w:t xml:space="preserve">Summary of contingent liabilities</w:t>
      </w:r>
    </w:p>
    <w:p>
      <w:pPr>
        <w:pStyle w:val="BodyText"/>
      </w:pPr>
      <w:r>
        <w:t xml:space="preserve">The following is a summary table of our contingent liabilities as at the three-month period ended June 30, 2025, as derived from the Restated Financial Statements:</w:t>
      </w:r>
    </w:p>
    <w:p>
      <w:pPr>
        <w:pStyle w:val="BodyText"/>
      </w:pPr>
      <w:r>
        <w:t xml:space="preserve">(₹ in million)</w:t>
      </w:r>
    </w:p>
    <w:tbl>
      <w:tblPr>
        <w:tblStyle w:val="Table"/>
        <w:tblW w:type="auto" w:w="0"/>
        <w:tblLook w:firstRow="0" w:lastRow="0" w:firstColumn="0" w:lastColumn="0" w:noHBand="0" w:noVBand="0" w:val="0000"/>
        <w:jc w:val="start"/>
      </w:tblPr>
      <w:tblGrid>
        <w:gridCol w:w="3960"/>
        <w:gridCol w:w="3960"/>
      </w:tblGrid>
      <w:tr>
        <w:tc>
          <w:tcPr/>
          <w:p>
            <w:pPr>
              <w:pStyle w:val="Compact"/>
              <w:jc w:val="center"/>
            </w:pPr>
            <w:r>
              <w:t xml:space="preserve">Particulars</w:t>
            </w:r>
          </w:p>
        </w:tc>
        <w:tc>
          <w:tcPr/>
          <w:p>
            <w:pPr>
              <w:pStyle w:val="Compact"/>
              <w:jc w:val="center"/>
            </w:pPr>
            <w:r>
              <w:t xml:space="preserve">Amount as at June 30, 2025</w:t>
            </w:r>
          </w:p>
        </w:tc>
      </w:tr>
      <w:tr>
        <w:tc>
          <w:tcPr/>
          <w:p>
            <w:pPr>
              <w:pStyle w:val="Compact"/>
              <w:jc w:val="center"/>
            </w:pPr>
            <w:r>
              <w:t xml:space="preserve">Open bank guarantees outstanding</w:t>
            </w:r>
          </w:p>
        </w:tc>
        <w:tc>
          <w:tcPr/>
          <w:p>
            <w:pPr>
              <w:pStyle w:val="Compact"/>
              <w:jc w:val="center"/>
            </w:pPr>
            <w:r>
              <w:t xml:space="preserve">34.92</w:t>
            </w:r>
          </w:p>
        </w:tc>
      </w:tr>
    </w:tbl>
    <w:p>
      <w:pPr>
        <w:pStyle w:val="BodyText"/>
      </w:pPr>
      <w:r>
        <w:t xml:space="preserve">For details, see</w:t>
      </w:r>
      <w:r>
        <w:t xml:space="preserve"> </w:t>
      </w:r>
      <w:r>
        <w:t xml:space="preserve">“</w:t>
      </w:r>
      <w:r>
        <w:t xml:space="preserve">Restated Financial Statements – Note 28: Contingent liabilities and commitments</w:t>
      </w:r>
      <w:r>
        <w:t xml:space="preserve">”</w:t>
      </w:r>
      <w:r>
        <w:t xml:space="preserve"> </w:t>
      </w:r>
      <w:r>
        <w:t xml:space="preserve">on page 322.</w:t>
      </w:r>
    </w:p>
    <w:p>
      <w:pPr>
        <w:pStyle w:val="BodyText"/>
      </w:pPr>
      <w:r>
        <w:t xml:space="preserve">Summary of related party transactions</w:t>
      </w:r>
    </w:p>
    <w:p>
      <w:pPr>
        <w:pStyle w:val="BodyText"/>
      </w:pPr>
      <w:r>
        <w:t xml:space="preserve">The summary of related party transactions, as per the requirements under Ind AS 24 –</w:t>
      </w:r>
      <w:r>
        <w:t xml:space="preserve"> </w:t>
      </w:r>
      <w:r>
        <w:t xml:space="preserve">‘</w:t>
      </w:r>
      <w:r>
        <w:t xml:space="preserve">Related Party Disclosures</w:t>
      </w:r>
      <w:r>
        <w:t xml:space="preserve">’</w:t>
      </w:r>
      <w:r>
        <w:t xml:space="preserve">, entered into by us for the three-month period ended June 30, 2025 and Fiscals 2025, 2024 and 2023, as derived from the Restated Financial Statements are as set out in the table below:</w:t>
      </w:r>
    </w:p>
    <w:p>
      <w:pPr>
        <w:pStyle w:val="BodyText"/>
      </w:pPr>
      <w:r>
        <w:t xml:space="preserve">(₹ in million)</w:t>
      </w:r>
    </w:p>
    <w:tbl>
      <w:tblPr>
        <w:tblStyle w:val="Table"/>
        <w:tblW w:type="pct" w:w="5000"/>
        <w:tblLook w:firstRow="0" w:lastRow="0" w:firstColumn="0" w:lastColumn="0" w:noHBand="0" w:noVBand="0" w:val="0000"/>
        <w:jc w:val="start"/>
      </w:tblPr>
      <w:tblGrid>
        <w:gridCol w:w="719"/>
        <w:gridCol w:w="719"/>
        <w:gridCol w:w="719"/>
        <w:gridCol w:w="719"/>
        <w:gridCol w:w="719"/>
        <w:gridCol w:w="719"/>
        <w:gridCol w:w="719"/>
        <w:gridCol w:w="719"/>
        <w:gridCol w:w="719"/>
        <w:gridCol w:w="719"/>
        <w:gridCol w:w="719"/>
      </w:tblGrid>
      <w:tr>
        <w:tc>
          <w:tcPr/>
          <w:p>
            <w:pPr>
              <w:pStyle w:val="Compact"/>
              <w:jc w:val="center"/>
            </w:pPr>
            <w:r>
              <w:t xml:space="preserve">Nature of transaction</w:t>
            </w:r>
          </w:p>
        </w:tc>
        <w:tc>
          <w:tcPr/>
          <w:p>
            <w:pPr>
              <w:pStyle w:val="Compact"/>
              <w:jc w:val="center"/>
            </w:pPr>
            <w:r>
              <w:t xml:space="preserve">Name of related party with whom transactions have takenplace</w:t>
            </w:r>
          </w:p>
        </w:tc>
        <w:tc>
          <w:tcPr/>
          <w:p>
            <w:pPr>
              <w:pStyle w:val="Compact"/>
              <w:jc w:val="center"/>
            </w:pPr>
            <w:r>
              <w:t xml:space="preserve">Nature of relationship</w:t>
            </w:r>
          </w:p>
        </w:tc>
        <w:tc>
          <w:tcPr/>
          <w:p>
            <w:pPr>
              <w:pStyle w:val="Compact"/>
              <w:jc w:val="center"/>
            </w:pPr>
            <w:r>
              <w:t xml:space="preserve">Three-month period ended June 30,2025</w:t>
            </w:r>
          </w:p>
        </w:tc>
        <w:tc>
          <w:tcPr/>
          <w:p>
            <w:pPr>
              <w:pStyle w:val="Compact"/>
              <w:jc w:val="center"/>
            </w:pPr>
            <w:r>
              <w:t xml:space="preserve">% of revenue from operations</w:t>
            </w:r>
          </w:p>
        </w:tc>
        <w:tc>
          <w:tcPr/>
          <w:p>
            <w:pPr>
              <w:pStyle w:val="Compact"/>
              <w:jc w:val="center"/>
            </w:pPr>
            <w:r>
              <w:t xml:space="preserve">Fiscal 2025</w:t>
            </w:r>
          </w:p>
        </w:tc>
        <w:tc>
          <w:tcPr/>
          <w:p>
            <w:pPr>
              <w:pStyle w:val="Compact"/>
              <w:jc w:val="center"/>
            </w:pPr>
            <w:r>
              <w:t xml:space="preserve">% of revenue from operations</w:t>
            </w:r>
          </w:p>
        </w:tc>
        <w:tc>
          <w:tcPr/>
          <w:p>
            <w:pPr>
              <w:pStyle w:val="Compact"/>
              <w:jc w:val="center"/>
            </w:pPr>
            <w:r>
              <w:t xml:space="preserve">Fiscal 2024</w:t>
            </w:r>
          </w:p>
        </w:tc>
        <w:tc>
          <w:tcPr/>
          <w:p>
            <w:pPr>
              <w:pStyle w:val="Compact"/>
              <w:jc w:val="center"/>
            </w:pPr>
            <w:r>
              <w:t xml:space="preserve">% of revenue from operations</w:t>
            </w:r>
          </w:p>
        </w:tc>
        <w:tc>
          <w:tcPr/>
          <w:p>
            <w:pPr>
              <w:pStyle w:val="Compact"/>
              <w:jc w:val="center"/>
            </w:pPr>
            <w:r>
              <w:t xml:space="preserve">Fiscal 2023</w:t>
            </w:r>
          </w:p>
        </w:tc>
        <w:tc>
          <w:tcPr/>
          <w:p>
            <w:pPr>
              <w:pStyle w:val="Compact"/>
              <w:jc w:val="center"/>
            </w:pPr>
            <w:r>
              <w:t xml:space="preserve">% of revenue from operations</w:t>
            </w:r>
          </w:p>
        </w:tc>
      </w:tr>
      <w:tr>
        <w:tc>
          <w:tcPr/>
          <w:p>
            <w:pPr>
              <w:pStyle w:val="Compact"/>
              <w:jc w:val="center"/>
            </w:pPr>
            <w:r>
              <w:t xml:space="preserve">Purchase of goods</w:t>
            </w:r>
          </w:p>
        </w:tc>
        <w:tc>
          <w:tcPr/>
          <w:p>
            <w:pPr>
              <w:pStyle w:val="Compact"/>
              <w:jc w:val="center"/>
            </w:pPr>
            <w:r>
              <w:t xml:space="preserve">Sam Clark</w:t>
            </w:r>
          </w:p>
        </w:tc>
        <w:tc>
          <w:tcPr/>
          <w:p>
            <w:pPr>
              <w:pStyle w:val="Compact"/>
              <w:jc w:val="center"/>
            </w:pPr>
            <w:r>
              <w:t xml:space="preserve">Promoters are partners in thepartnership firm</w:t>
            </w:r>
          </w:p>
        </w:tc>
        <w:tc>
          <w:tcPr/>
          <w:p>
            <w:pPr>
              <w:pStyle w:val="Compact"/>
              <w:jc w:val="center"/>
            </w:pPr>
            <w:r>
              <w:t xml:space="preserve">0.39</w:t>
            </w:r>
          </w:p>
        </w:tc>
        <w:tc>
          <w:tcPr/>
          <w:p>
            <w:pPr>
              <w:pStyle w:val="Compact"/>
              <w:jc w:val="center"/>
            </w:pPr>
            <w:r>
              <w:t xml:space="preserve">0.01%</w:t>
            </w:r>
          </w:p>
        </w:tc>
        <w:tc>
          <w:tcPr/>
          <w:p>
            <w:pPr>
              <w:pStyle w:val="Compact"/>
              <w:jc w:val="center"/>
            </w:pPr>
            <w:r>
              <w:t xml:space="preserve">0.27</w:t>
            </w:r>
          </w:p>
        </w:tc>
        <w:tc>
          <w:tcPr/>
          <w:p>
            <w:pPr>
              <w:pStyle w:val="Compact"/>
              <w:jc w:val="center"/>
            </w:pPr>
            <w:r>
              <w:t xml:space="preserve">0.00%</w:t>
            </w:r>
          </w:p>
        </w:tc>
        <w:tc>
          <w:tcPr/>
          <w:p>
            <w:pPr>
              <w:pStyle w:val="Compact"/>
              <w:jc w:val="center"/>
            </w:pPr>
            <w:r>
              <w:t xml:space="preserve">0.28</w:t>
            </w:r>
          </w:p>
        </w:tc>
        <w:tc>
          <w:tcPr/>
          <w:p>
            <w:pPr>
              <w:pStyle w:val="Compact"/>
              <w:jc w:val="center"/>
            </w:pPr>
            <w:r>
              <w:t xml:space="preserve">0.00%</w:t>
            </w:r>
          </w:p>
        </w:tc>
        <w:tc>
          <w:tcPr/>
          <w:p>
            <w:pPr>
              <w:pStyle w:val="Compact"/>
              <w:jc w:val="center"/>
            </w:pPr>
            <w:r>
              <w:t xml:space="preserve">0.19</w:t>
            </w:r>
          </w:p>
        </w:tc>
        <w:tc>
          <w:tcPr/>
          <w:p>
            <w:pPr>
              <w:pStyle w:val="Compact"/>
              <w:jc w:val="center"/>
            </w:pPr>
            <w:r>
              <w:t xml:space="preserve">0.00%</w:t>
            </w:r>
          </w:p>
        </w:tc>
      </w:tr>
      <w:tr>
        <w:tc>
          <w:tcPr/>
          <w:p>
            <w:pPr>
              <w:pStyle w:val="Compact"/>
              <w:jc w:val="center"/>
            </w:pPr>
            <w:r>
              <w:t xml:space="preserve">Purchase of goods</w:t>
            </w:r>
          </w:p>
        </w:tc>
        <w:tc>
          <w:tcPr/>
          <w:p>
            <w:pPr>
              <w:pStyle w:val="Compact"/>
              <w:jc w:val="center"/>
            </w:pPr>
            <w:r>
              <w:t xml:space="preserve">Umbrella Ltd</w:t>
            </w:r>
          </w:p>
        </w:tc>
        <w:tc>
          <w:tcPr/>
          <w:p>
            <w:pPr>
              <w:pStyle w:val="Compact"/>
              <w:jc w:val="center"/>
            </w:pPr>
            <w:r>
              <w:t xml:space="preserve">Promoters are partners in thepartnership firm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0.27</w:t>
            </w:r>
          </w:p>
        </w:tc>
        <w:tc>
          <w:tcPr/>
          <w:p>
            <w:pPr>
              <w:pStyle w:val="Compact"/>
              <w:jc w:val="center"/>
            </w:pPr>
            <w:r>
              <w:t xml:space="preserve">0.00%</w:t>
            </w:r>
          </w:p>
        </w:tc>
        <w:tc>
          <w:tcPr/>
          <w:p>
            <w:pPr>
              <w:pStyle w:val="Compact"/>
              <w:jc w:val="center"/>
            </w:pPr>
            <w:r>
              <w:t xml:space="preserve">0.10</w:t>
            </w:r>
          </w:p>
        </w:tc>
        <w:tc>
          <w:tcPr/>
          <w:p>
            <w:pPr>
              <w:pStyle w:val="Compact"/>
              <w:jc w:val="center"/>
            </w:pPr>
            <w:r>
              <w:t xml:space="preserve">0.00%</w:t>
            </w:r>
          </w:p>
        </w:tc>
        <w:tc>
          <w:tcPr/>
          <w:p>
            <w:pPr>
              <w:pStyle w:val="Compact"/>
              <w:jc w:val="center"/>
            </w:pPr>
            <w:r>
              <w:t xml:space="preserve">0.13</w:t>
            </w:r>
          </w:p>
        </w:tc>
        <w:tc>
          <w:tcPr/>
          <w:p>
            <w:pPr>
              <w:pStyle w:val="Compact"/>
              <w:jc w:val="center"/>
            </w:pPr>
            <w:r>
              <w:t xml:space="preserve">0.00%</w:t>
            </w:r>
          </w:p>
        </w:tc>
      </w:tr>
      <w:tr>
        <w:tc>
          <w:tcPr/>
          <w:p>
            <w:pPr>
              <w:pStyle w:val="Compact"/>
              <w:jc w:val="center"/>
            </w:pPr>
            <w:r>
              <w:t xml:space="preserve">Services received</w:t>
            </w:r>
          </w:p>
        </w:tc>
        <w:tc>
          <w:tcPr/>
          <w:p>
            <w:pPr>
              <w:pStyle w:val="Compact"/>
              <w:jc w:val="center"/>
            </w:pPr>
            <w:r>
              <w:t xml:space="preserve">KSHDistriparksPrivate Limited</w:t>
            </w:r>
          </w:p>
        </w:tc>
        <w:tc>
          <w:tcPr/>
          <w:p>
            <w:pPr>
              <w:pStyle w:val="Compact"/>
              <w:jc w:val="center"/>
            </w:pPr>
            <w:r>
              <w:t xml:space="preserve">Common control</w:t>
            </w:r>
          </w:p>
        </w:tc>
        <w:tc>
          <w:tcPr/>
          <w:p>
            <w:pPr>
              <w:pStyle w:val="Compact"/>
              <w:jc w:val="center"/>
            </w:pPr>
            <w:r>
              <w:t xml:space="preserve">0.37</w:t>
            </w:r>
          </w:p>
        </w:tc>
        <w:tc>
          <w:tcPr/>
          <w:p>
            <w:pPr>
              <w:pStyle w:val="Compact"/>
              <w:jc w:val="center"/>
            </w:pPr>
            <w:r>
              <w:t xml:space="preserve">0.01%</w:t>
            </w:r>
          </w:p>
        </w:tc>
        <w:tc>
          <w:tcPr/>
          <w:p>
            <w:pPr>
              <w:pStyle w:val="Compact"/>
              <w:jc w:val="center"/>
            </w:pPr>
            <w:r>
              <w:t xml:space="preserve">3.23</w:t>
            </w:r>
          </w:p>
        </w:tc>
        <w:tc>
          <w:tcPr/>
          <w:p>
            <w:pPr>
              <w:pStyle w:val="Compact"/>
              <w:jc w:val="center"/>
            </w:pPr>
            <w:r>
              <w:t xml:space="preserve">0.02%</w:t>
            </w:r>
          </w:p>
        </w:tc>
        <w:tc>
          <w:tcPr/>
          <w:p>
            <w:pPr>
              <w:pStyle w:val="Compact"/>
              <w:jc w:val="center"/>
            </w:pPr>
            <w:r>
              <w:t xml:space="preserve">2.91</w:t>
            </w:r>
          </w:p>
        </w:tc>
        <w:tc>
          <w:tcPr/>
          <w:p>
            <w:pPr>
              <w:pStyle w:val="Compact"/>
              <w:jc w:val="center"/>
            </w:pPr>
            <w:r>
              <w:t xml:space="preserve">0.02%</w:t>
            </w:r>
          </w:p>
        </w:tc>
        <w:tc>
          <w:tcPr/>
          <w:p>
            <w:pPr>
              <w:pStyle w:val="Compact"/>
              <w:jc w:val="center"/>
            </w:pPr>
            <w:r>
              <w:t xml:space="preserve">3.66</w:t>
            </w:r>
          </w:p>
        </w:tc>
        <w:tc>
          <w:tcPr/>
          <w:p>
            <w:pPr>
              <w:pStyle w:val="Compact"/>
              <w:jc w:val="center"/>
            </w:pPr>
            <w:r>
              <w:t xml:space="preserve">0.03%</w:t>
            </w:r>
          </w:p>
        </w:tc>
      </w:tr>
      <w:tr>
        <w:tc>
          <w:tcPr/>
          <w:p>
            <w:pPr>
              <w:pStyle w:val="Compact"/>
              <w:jc w:val="center"/>
            </w:pPr>
            <w:r>
              <w:t xml:space="preserve">Services received</w:t>
            </w:r>
          </w:p>
        </w:tc>
        <w:tc>
          <w:tcPr/>
          <w:p>
            <w:pPr>
              <w:pStyle w:val="Compact"/>
              <w:jc w:val="center"/>
            </w:pPr>
            <w:r>
              <w:t xml:space="preserve">Initech LLC</w:t>
            </w:r>
          </w:p>
        </w:tc>
        <w:tc>
          <w:tcPr/>
          <w:p>
            <w:pPr>
              <w:pStyle w:val="Compact"/>
              <w:jc w:val="center"/>
            </w:pPr>
            <w:r>
              <w:t xml:space="preserve">Promotersare trustees in the trust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4.26</w:t>
            </w:r>
          </w:p>
        </w:tc>
        <w:tc>
          <w:tcPr/>
          <w:p>
            <w:pPr>
              <w:pStyle w:val="Compact"/>
              <w:jc w:val="center"/>
            </w:pPr>
            <w:r>
              <w:t xml:space="preserve">0.02%</w:t>
            </w:r>
          </w:p>
        </w:tc>
        <w:tc>
          <w:tcPr/>
          <w:p>
            <w:pPr>
              <w:pStyle w:val="Compact"/>
              <w:jc w:val="center"/>
            </w:pPr>
            <w:r>
              <w:t xml:space="preserve">1.50</w:t>
            </w:r>
          </w:p>
        </w:tc>
        <w:tc>
          <w:tcPr/>
          <w:p>
            <w:pPr>
              <w:pStyle w:val="Compact"/>
              <w:jc w:val="center"/>
            </w:pPr>
            <w:r>
              <w:t xml:space="preserve">0.01%</w:t>
            </w:r>
          </w:p>
        </w:tc>
        <w:tc>
          <w:tcPr/>
          <w:p>
            <w:pPr>
              <w:pStyle w:val="Compact"/>
              <w:jc w:val="center"/>
            </w:pPr>
            <w:r>
              <w:t xml:space="preserve">2.00</w:t>
            </w:r>
          </w:p>
        </w:tc>
        <w:tc>
          <w:tcPr/>
          <w:p>
            <w:pPr>
              <w:pStyle w:val="Compact"/>
              <w:jc w:val="center"/>
            </w:pPr>
            <w:r>
              <w:t xml:space="preserve">0.02%</w:t>
            </w:r>
          </w:p>
        </w:tc>
      </w:tr>
      <w:tr>
        <w:tc>
          <w:tcPr/>
          <w:p>
            <w:pPr>
              <w:pStyle w:val="Compact"/>
              <w:jc w:val="center"/>
            </w:pPr>
            <w:r>
              <w:t xml:space="preserve">Deposit paid</w:t>
            </w:r>
          </w:p>
        </w:tc>
        <w:tc>
          <w:tcPr/>
          <w:p>
            <w:pPr>
              <w:pStyle w:val="Compact"/>
              <w:jc w:val="center"/>
            </w:pPr>
            <w:r>
              <w:t xml:space="preserve">KSH Infra Park 4 PrivateLimited</w:t>
            </w:r>
          </w:p>
        </w:tc>
        <w:tc>
          <w:tcPr/>
          <w:p>
            <w:pPr>
              <w:pStyle w:val="Compact"/>
              <w:jc w:val="center"/>
            </w:pPr>
            <w:r>
              <w:t xml:space="preserve">Common control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100.00</w:t>
            </w:r>
          </w:p>
        </w:tc>
        <w:tc>
          <w:tcPr/>
          <w:p>
            <w:pPr>
              <w:pStyle w:val="Compact"/>
              <w:jc w:val="center"/>
            </w:pPr>
            <w:r>
              <w:t xml:space="preserve">0.95%</w:t>
            </w:r>
          </w:p>
        </w:tc>
      </w:tr>
      <w:tr>
        <w:tc>
          <w:tcPr/>
          <w:p>
            <w:pPr>
              <w:pStyle w:val="Compact"/>
              <w:jc w:val="center"/>
            </w:pPr>
            <w:r>
              <w:t xml:space="preserve">Remuneration paid#</w:t>
            </w:r>
          </w:p>
        </w:tc>
        <w:tc>
          <w:tcPr/>
          <w:p>
            <w:pPr>
              <w:pStyle w:val="Compact"/>
              <w:jc w:val="center"/>
            </w:pPr>
            <w:r>
              <w:t xml:space="preserve">Remuneration paid to key managerialpersonnel</w:t>
            </w:r>
          </w:p>
        </w:tc>
        <w:tc>
          <w:tcPr/>
          <w:p>
            <w:pPr>
              <w:pStyle w:val="Compact"/>
              <w:jc w:val="center"/>
            </w:pPr>
            <w:r>
              <w:t xml:space="preserve">Key managerial personnel</w:t>
            </w:r>
          </w:p>
        </w:tc>
        <w:tc>
          <w:tcPr/>
          <w:p>
            <w:pPr>
              <w:pStyle w:val="Compact"/>
              <w:jc w:val="center"/>
            </w:pPr>
            <w:r>
              <w:t xml:space="preserve">40.10</w:t>
            </w:r>
          </w:p>
        </w:tc>
        <w:tc>
          <w:tcPr/>
          <w:p>
            <w:pPr>
              <w:pStyle w:val="Compact"/>
              <w:jc w:val="center"/>
            </w:pPr>
            <w:r>
              <w:t xml:space="preserve">0.72%</w:t>
            </w:r>
          </w:p>
        </w:tc>
        <w:tc>
          <w:tcPr/>
          <w:p>
            <w:pPr>
              <w:pStyle w:val="Compact"/>
              <w:jc w:val="center"/>
            </w:pPr>
            <w:r>
              <w:t xml:space="preserve">138.44</w:t>
            </w:r>
          </w:p>
        </w:tc>
        <w:tc>
          <w:tcPr/>
          <w:p>
            <w:pPr>
              <w:pStyle w:val="Compact"/>
              <w:jc w:val="center"/>
            </w:pPr>
            <w:r>
              <w:t xml:space="preserve">0.72%</w:t>
            </w:r>
          </w:p>
        </w:tc>
        <w:tc>
          <w:tcPr/>
          <w:p>
            <w:pPr>
              <w:pStyle w:val="Compact"/>
              <w:jc w:val="center"/>
            </w:pPr>
            <w:r>
              <w:t xml:space="preserve">100.35</w:t>
            </w:r>
          </w:p>
        </w:tc>
        <w:tc>
          <w:tcPr/>
          <w:p>
            <w:pPr>
              <w:pStyle w:val="Compact"/>
              <w:jc w:val="center"/>
            </w:pPr>
            <w:r>
              <w:t xml:space="preserve">0.73%</w:t>
            </w:r>
          </w:p>
        </w:tc>
        <w:tc>
          <w:tcPr/>
          <w:p>
            <w:pPr>
              <w:pStyle w:val="Compact"/>
              <w:jc w:val="center"/>
            </w:pPr>
            <w:r>
              <w:t xml:space="preserve">123.32</w:t>
            </w:r>
          </w:p>
        </w:tc>
        <w:tc>
          <w:tcPr/>
          <w:p>
            <w:pPr>
              <w:pStyle w:val="Compact"/>
              <w:jc w:val="center"/>
            </w:pPr>
            <w:r>
              <w:t xml:space="preserve">1.18%</w:t>
            </w:r>
          </w:p>
        </w:tc>
      </w:tr>
      <w:tr>
        <w:tc>
          <w:tcPr/>
          <w:p>
            <w:pPr>
              <w:pStyle w:val="Compact"/>
              <w:jc w:val="center"/>
            </w:pPr>
            <w:r>
              <w:t xml:space="preserve">Remuneration paid#</w:t>
            </w:r>
          </w:p>
        </w:tc>
        <w:tc>
          <w:tcPr/>
          <w:p>
            <w:pPr>
              <w:pStyle w:val="Compact"/>
              <w:jc w:val="center"/>
            </w:pPr>
            <w:r>
              <w:t xml:space="preserve">Remuneration paid torelatives of Key ManagerialPersonnel</w:t>
            </w:r>
          </w:p>
        </w:tc>
        <w:tc>
          <w:tcPr/>
          <w:p>
            <w:pPr>
              <w:pStyle w:val="Compact"/>
              <w:jc w:val="center"/>
            </w:pPr>
            <w:r>
              <w:t xml:space="preserve">Relatives of key managerial personnel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0.89</w:t>
            </w:r>
          </w:p>
        </w:tc>
        <w:tc>
          <w:tcPr/>
          <w:p>
            <w:pPr>
              <w:pStyle w:val="Compact"/>
              <w:jc w:val="center"/>
            </w:pPr>
            <w:r>
              <w:t xml:space="preserve">0.00%</w:t>
            </w:r>
          </w:p>
        </w:tc>
        <w:tc>
          <w:tcPr/>
          <w:p>
            <w:pPr>
              <w:pStyle w:val="Compact"/>
              <w:jc w:val="center"/>
            </w:pPr>
            <w:r>
              <w:t xml:space="preserve">0.98</w:t>
            </w:r>
          </w:p>
        </w:tc>
        <w:tc>
          <w:tcPr/>
          <w:p>
            <w:pPr>
              <w:pStyle w:val="Compact"/>
              <w:jc w:val="center"/>
            </w:pPr>
            <w:r>
              <w:t xml:space="preserve">0.01%</w:t>
            </w:r>
          </w:p>
        </w:tc>
        <w:tc>
          <w:tcPr/>
          <w:p>
            <w:pPr>
              <w:pStyle w:val="Compact"/>
              <w:jc w:val="center"/>
            </w:pPr>
            <w:r>
              <w:t xml:space="preserve">0.92</w:t>
            </w:r>
          </w:p>
        </w:tc>
        <w:tc>
          <w:tcPr/>
          <w:p>
            <w:pPr>
              <w:pStyle w:val="Compact"/>
              <w:jc w:val="center"/>
            </w:pPr>
            <w:r>
              <w:t xml:space="preserve">0.01%</w:t>
            </w:r>
          </w:p>
        </w:tc>
      </w:tr>
      <w:tr>
        <w:tc>
          <w:tcPr/>
          <w:p>
            <w:pPr>
              <w:pStyle w:val="Compact"/>
              <w:jc w:val="center"/>
            </w:pPr>
            <w:r>
              <w:t xml:space="preserve">Share Based Payment Expense</w:t>
            </w:r>
          </w:p>
        </w:tc>
        <w:tc>
          <w:tcPr/>
          <w:p>
            <w:pPr>
              <w:pStyle w:val="Compact"/>
              <w:jc w:val="center"/>
            </w:pPr>
            <w:r>
              <w:t xml:space="preserve">Share Based Payment Expense of Key ManagerialPersonnel</w:t>
            </w:r>
          </w:p>
        </w:tc>
        <w:tc>
          <w:tcPr/>
          <w:p>
            <w:pPr>
              <w:pStyle w:val="Compact"/>
              <w:jc w:val="center"/>
            </w:pPr>
            <w:r>
              <w:t xml:space="preserve">Key managerial personnel</w:t>
            </w:r>
          </w:p>
        </w:tc>
        <w:tc>
          <w:tcPr/>
          <w:p>
            <w:pPr>
              <w:pStyle w:val="Compact"/>
              <w:jc w:val="center"/>
            </w:pPr>
            <w:r>
              <w:t xml:space="preserve">0.36</w:t>
            </w:r>
          </w:p>
        </w:tc>
        <w:tc>
          <w:tcPr/>
          <w:p>
            <w:pPr>
              <w:pStyle w:val="Compact"/>
              <w:jc w:val="center"/>
            </w:pPr>
            <w:r>
              <w:t xml:space="preserve">0.01%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Sitting Feespaid toIndependent Directors</w:t>
            </w:r>
          </w:p>
        </w:tc>
        <w:tc>
          <w:tcPr/>
          <w:p>
            <w:pPr>
              <w:pStyle w:val="Compact"/>
              <w:jc w:val="center"/>
            </w:pPr>
            <w:r>
              <w:t xml:space="preserve">Payment to Soylent Corp</w:t>
            </w:r>
          </w:p>
        </w:tc>
        <w:tc>
          <w:tcPr/>
          <w:p>
            <w:pPr>
              <w:pStyle w:val="Compact"/>
              <w:jc w:val="center"/>
            </w:pPr>
            <w:r>
              <w:t xml:space="preserve">Independent directors</w:t>
            </w:r>
          </w:p>
        </w:tc>
        <w:tc>
          <w:tcPr/>
          <w:p>
            <w:pPr>
              <w:pStyle w:val="Compact"/>
              <w:jc w:val="center"/>
            </w:pPr>
            <w:r>
              <w:t xml:space="preserve">1.92</w:t>
            </w:r>
          </w:p>
        </w:tc>
        <w:tc>
          <w:tcPr/>
          <w:p>
            <w:pPr>
              <w:pStyle w:val="Compact"/>
              <w:jc w:val="center"/>
            </w:pPr>
            <w:r>
              <w:t xml:space="preserve">0.03%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Total</w:t>
            </w:r>
          </w:p>
        </w:tc>
        <w:tc>
          <w:tcPr/>
          <w:p>
            <w:pPr>
              <w:pStyle w:val="Compact"/>
              <w:jc w:val="center"/>
            </w:pPr>
            <w:r>
              <w:t xml:space="preserve">43.14</w:t>
            </w:r>
          </w:p>
        </w:tc>
        <w:tc>
          <w:tcPr/>
          <w:p>
            <w:pPr>
              <w:pStyle w:val="Compact"/>
              <w:jc w:val="center"/>
            </w:pPr>
            <w:r>
              <w:t xml:space="preserve">0.77%</w:t>
            </w:r>
          </w:p>
        </w:tc>
        <w:tc>
          <w:tcPr/>
          <w:p>
            <w:pPr>
              <w:pStyle w:val="Compact"/>
              <w:jc w:val="center"/>
            </w:pPr>
            <w:r>
              <w:t xml:space="preserve">147.36</w:t>
            </w:r>
          </w:p>
        </w:tc>
        <w:tc>
          <w:tcPr/>
          <w:p>
            <w:pPr>
              <w:pStyle w:val="Compact"/>
              <w:jc w:val="center"/>
            </w:pPr>
            <w:r>
              <w:t xml:space="preserve">0.72%</w:t>
            </w:r>
          </w:p>
        </w:tc>
        <w:tc>
          <w:tcPr/>
          <w:p>
            <w:pPr>
              <w:pStyle w:val="Compact"/>
              <w:jc w:val="center"/>
            </w:pPr>
            <w:r>
              <w:t xml:space="preserve">106.12</w:t>
            </w:r>
          </w:p>
        </w:tc>
        <w:tc>
          <w:tcPr/>
          <w:p>
            <w:pPr>
              <w:pStyle w:val="Compact"/>
              <w:jc w:val="center"/>
            </w:pPr>
            <w:r>
              <w:t xml:space="preserve">0.77%</w:t>
            </w:r>
          </w:p>
        </w:tc>
        <w:tc>
          <w:tcPr/>
          <w:p>
            <w:pPr>
              <w:pStyle w:val="Compact"/>
              <w:jc w:val="center"/>
            </w:pPr>
            <w:r>
              <w:t xml:space="preserve">230.22</w:t>
            </w:r>
          </w:p>
        </w:tc>
        <w:tc>
          <w:tcPr/>
          <w:p>
            <w:pPr>
              <w:pStyle w:val="Compact"/>
              <w:jc w:val="center"/>
            </w:pPr>
            <w:r>
              <w:t xml:space="preserve">2.19%</w:t>
            </w:r>
          </w:p>
        </w:tc>
        <w:tc>
          <w:tcPr/>
          <w:p>
            <w:pPr>
              <w:pStyle w:val="Compact"/>
            </w:pPr>
          </w:p>
        </w:tc>
        <w:tc>
          <w:tcPr/>
          <w:p>
            <w:pPr>
              <w:pStyle w:val="Compact"/>
            </w:pPr>
          </w:p>
        </w:tc>
      </w:tr>
    </w:tbl>
    <w:p>
      <w:pPr>
        <w:pStyle w:val="BodyText"/>
      </w:pPr>
      <w:r>
        <w:t xml:space="preserve">#Information relating to remuneration does not include provision for gratuity, which is provided on an overall actuarial valuation, as separate amounts are not available for respective Key Managerial Personnel. Remuneration paid at actual basis is considered for above computation.</w:t>
      </w:r>
    </w:p>
    <w:p>
      <w:pPr>
        <w:pStyle w:val="BodyText"/>
      </w:pPr>
      <w:r>
        <w:t xml:space="preserve">For further details, see</w:t>
      </w:r>
      <w:r>
        <w:t xml:space="preserve"> </w:t>
      </w:r>
      <w:r>
        <w:t xml:space="preserve">“</w:t>
      </w:r>
      <w:r>
        <w:t xml:space="preserve">Restated Financial Statements – Note 31: Related Party Transaction</w:t>
      </w:r>
      <w:r>
        <w:t xml:space="preserve">”</w:t>
      </w:r>
      <w:r>
        <w:t xml:space="preserve"> </w:t>
      </w:r>
      <w:r>
        <w:t xml:space="preserve">on page 331.</w:t>
      </w:r>
    </w:p>
    <w:p>
      <w:pPr>
        <w:pStyle w:val="BodyText"/>
      </w:pPr>
      <w:r>
        <w:t xml:space="preserve">Financing arrangements</w:t>
      </w:r>
    </w:p>
    <w:p>
      <w:pPr>
        <w:pStyle w:val="BodyText"/>
      </w:pPr>
      <w:r>
        <w:t xml:space="preserve">There have been no financing arrangements whereby our Promoters, members of our Umbrella Ltd, our Directors and their relatives (as defined under Companies Act, 2013) have financed the purchase by any other person of securities of our Company (other than in the normal course of the business of the financing entity) during a period of six months immediately preceding the date of the Draft Red Hering Prospectus and this Red Herring Prospectus.</w:t>
      </w:r>
    </w:p>
    <w:p>
      <w:pPr>
        <w:pStyle w:val="BodyText"/>
      </w:pPr>
      <w:r>
        <w:t xml:space="preserve">Weighted average price at which the specified securities were acquired by our Promoter and the Promoter Selling Shareholders in the last one year preceding the date of this Red Herring Prospectus</w:t>
      </w:r>
    </w:p>
    <w:p>
      <w:pPr>
        <w:pStyle w:val="BodyText"/>
      </w:pPr>
      <w:r>
        <w:t xml:space="preserve">The weighted average price at which the specified securities were acquired by our Promoters and the Promoter Selling Shareholders in the last one year preceding the date of this Red Herring Prospectus is given below:</w:t>
      </w:r>
    </w:p>
    <w:tbl>
      <w:tblPr>
        <w:tblStyle w:val="Table"/>
        <w:tblW w:type="pct" w:w="5000"/>
        <w:tblLook w:firstRow="0" w:lastRow="0" w:firstColumn="0" w:lastColumn="0" w:noHBand="0" w:noVBand="0" w:val="0000"/>
        <w:jc w:val="start"/>
      </w:tblPr>
      <w:tblGrid>
        <w:gridCol w:w="2640"/>
        <w:gridCol w:w="2640"/>
        <w:gridCol w:w="2640"/>
      </w:tblGrid>
      <w:tr>
        <w:tc>
          <w:tcPr/>
          <w:p>
            <w:pPr>
              <w:pStyle w:val="Compact"/>
              <w:jc w:val="center"/>
            </w:pPr>
            <w:r>
              <w:t xml:space="preserve">Name of the Promoter</w:t>
            </w:r>
          </w:p>
        </w:tc>
        <w:tc>
          <w:tcPr/>
          <w:p>
            <w:pPr>
              <w:pStyle w:val="Compact"/>
              <w:jc w:val="center"/>
            </w:pPr>
            <w:r>
              <w:t xml:space="preserve">Number of Equity Shares of face value of ₹5 acquired</w:t>
            </w:r>
          </w:p>
        </w:tc>
        <w:tc>
          <w:tcPr/>
          <w:p>
            <w:pPr>
              <w:pStyle w:val="Compact"/>
              <w:jc w:val="center"/>
            </w:pPr>
            <w:r>
              <w:t xml:space="preserve">Weighted average price of acquisition per Globex Inc (1)# (in ₹)</w:t>
            </w:r>
          </w:p>
        </w:tc>
      </w:tr>
      <w:tr>
        <w:tc>
          <w:tcPr/>
          <w:p>
            <w:pPr>
              <w:pStyle w:val="Compact"/>
              <w:jc w:val="center"/>
            </w:pPr>
            <w:r>
              <w:t xml:space="preserve">Sam Wilson Hegde*</w:t>
            </w:r>
          </w:p>
        </w:tc>
        <w:tc>
          <w:tcPr/>
          <w:p>
            <w:pPr>
              <w:pStyle w:val="Compact"/>
              <w:jc w:val="center"/>
            </w:pPr>
            <w:r>
              <w:t xml:space="preserve">26,437,554</w:t>
            </w:r>
          </w:p>
        </w:tc>
        <w:tc>
          <w:tcPr/>
          <w:p>
            <w:pPr>
              <w:pStyle w:val="Compact"/>
              <w:jc w:val="center"/>
            </w:pPr>
            <w:r>
              <w:t xml:space="preserve">0.00</w:t>
            </w:r>
          </w:p>
        </w:tc>
      </w:tr>
    </w:tbl>
    <w:p/>
    <w:tbl>
      <w:tblPr>
        <w:tblStyle w:val="Table"/>
        <w:tblW w:type="pct" w:w="5000"/>
        <w:tblLook w:firstRow="0" w:lastRow="0" w:firstColumn="0" w:lastColumn="0" w:noHBand="0" w:noVBand="0" w:val="0000"/>
        <w:jc w:val="start"/>
      </w:tblPr>
      <w:tblGrid>
        <w:gridCol w:w="2640"/>
        <w:gridCol w:w="2640"/>
        <w:gridCol w:w="2640"/>
      </w:tblGrid>
      <w:tr>
        <w:tc>
          <w:tcPr/>
          <w:p>
            <w:pPr>
              <w:pStyle w:val="Compact"/>
              <w:jc w:val="center"/>
            </w:pPr>
            <w:r>
              <w:t xml:space="preserve">Name of the Promoter</w:t>
            </w:r>
          </w:p>
        </w:tc>
        <w:tc>
          <w:tcPr/>
          <w:p>
            <w:pPr>
              <w:pStyle w:val="Compact"/>
              <w:jc w:val="center"/>
            </w:pPr>
            <w:r>
              <w:t xml:space="preserve">Number of Equity Shares of face value of ₹5 acquired</w:t>
            </w:r>
          </w:p>
        </w:tc>
        <w:tc>
          <w:tcPr/>
          <w:p>
            <w:pPr>
              <w:pStyle w:val="Compact"/>
              <w:jc w:val="center"/>
            </w:pPr>
            <w:r>
              <w:t xml:space="preserve">Weighted average price of acquisition per Globex Inc (1)# (in ₹)</w:t>
            </w:r>
          </w:p>
        </w:tc>
      </w:tr>
      <w:tr>
        <w:tc>
          <w:tcPr/>
          <w:p>
            <w:pPr>
              <w:pStyle w:val="Compact"/>
              <w:jc w:val="center"/>
            </w:pPr>
            <w:r>
              <w:t xml:space="preserve">Sam Brown Hegde*</w:t>
            </w:r>
          </w:p>
        </w:tc>
        <w:tc>
          <w:tcPr/>
          <w:p>
            <w:pPr>
              <w:pStyle w:val="Compact"/>
              <w:jc w:val="center"/>
            </w:pPr>
            <w:r>
              <w:t xml:space="preserve">7,312,437</w:t>
            </w:r>
          </w:p>
        </w:tc>
        <w:tc>
          <w:tcPr/>
          <w:p>
            <w:pPr>
              <w:pStyle w:val="Compact"/>
              <w:jc w:val="center"/>
            </w:pPr>
            <w:r>
              <w:t xml:space="preserve">0.00</w:t>
            </w:r>
          </w:p>
        </w:tc>
      </w:tr>
      <w:tr>
        <w:tc>
          <w:tcPr/>
          <w:p>
            <w:pPr>
              <w:pStyle w:val="Compact"/>
              <w:jc w:val="center"/>
            </w:pPr>
            <w:r>
              <w:t xml:space="preserve">Sam Lee Hegde*</w:t>
            </w:r>
          </w:p>
        </w:tc>
        <w:tc>
          <w:tcPr/>
          <w:p>
            <w:pPr>
              <w:pStyle w:val="Compact"/>
              <w:jc w:val="center"/>
            </w:pPr>
            <w:r>
              <w:t xml:space="preserve">11,249,865</w:t>
            </w:r>
          </w:p>
        </w:tc>
        <w:tc>
          <w:tcPr/>
          <w:p>
            <w:pPr>
              <w:pStyle w:val="Compact"/>
              <w:jc w:val="center"/>
            </w:pPr>
            <w:r>
              <w:t xml:space="preserve">0.00</w:t>
            </w:r>
          </w:p>
        </w:tc>
      </w:tr>
      <w:tr>
        <w:tc>
          <w:tcPr/>
          <w:p>
            <w:pPr>
              <w:pStyle w:val="Compact"/>
              <w:jc w:val="center"/>
            </w:pPr>
            <w:r>
              <w:t xml:space="preserve">Sam Johnson Hegde*</w:t>
            </w:r>
          </w:p>
        </w:tc>
        <w:tc>
          <w:tcPr/>
          <w:p>
            <w:pPr>
              <w:pStyle w:val="Compact"/>
              <w:jc w:val="center"/>
            </w:pPr>
            <w:r>
              <w:t xml:space="preserve">11,249,865</w:t>
            </w:r>
          </w:p>
        </w:tc>
        <w:tc>
          <w:tcPr/>
          <w:p>
            <w:pPr>
              <w:pStyle w:val="Compact"/>
              <w:jc w:val="center"/>
            </w:pPr>
            <w:r>
              <w:t xml:space="preserve">0.00</w:t>
            </w:r>
          </w:p>
        </w:tc>
      </w:tr>
      <w:tr>
        <w:tc>
          <w:tcPr/>
          <w:p>
            <w:pPr>
              <w:pStyle w:val="Compact"/>
              <w:jc w:val="center"/>
            </w:pPr>
            <w:r>
              <w:t xml:space="preserve">Umbrella Ltd</w:t>
            </w:r>
          </w:p>
        </w:tc>
        <w:tc>
          <w:tcPr/>
          <w:p>
            <w:pPr>
              <w:pStyle w:val="Compact"/>
              <w:jc w:val="center"/>
            </w:pPr>
            <w:r>
              <w:t xml:space="preserve">100</w:t>
            </w:r>
          </w:p>
        </w:tc>
        <w:tc>
          <w:tcPr/>
          <w:p>
            <w:pPr>
              <w:pStyle w:val="Compact"/>
              <w:jc w:val="center"/>
            </w:pPr>
            <w:r>
              <w:t xml:space="preserve">530.00</w:t>
            </w:r>
          </w:p>
        </w:tc>
      </w:tr>
      <w:tr>
        <w:tc>
          <w:tcPr/>
          <w:p>
            <w:pPr>
              <w:pStyle w:val="Compact"/>
              <w:jc w:val="center"/>
            </w:pPr>
            <w:r>
              <w:t xml:space="preserve">Globex Inc</w:t>
            </w:r>
          </w:p>
        </w:tc>
        <w:tc>
          <w:tcPr/>
          <w:p>
            <w:pPr>
              <w:pStyle w:val="Compact"/>
              <w:jc w:val="center"/>
            </w:pPr>
            <w:r>
              <w:t xml:space="preserve">10</w:t>
            </w:r>
          </w:p>
        </w:tc>
        <w:tc>
          <w:tcPr/>
          <w:p>
            <w:pPr>
              <w:pStyle w:val="Compact"/>
              <w:jc w:val="center"/>
            </w:pPr>
            <w:r>
              <w:t xml:space="preserve">0.00</w:t>
            </w:r>
          </w:p>
        </w:tc>
      </w:tr>
      <w:tr>
        <w:tc>
          <w:tcPr/>
          <w:p>
            <w:pPr>
              <w:pStyle w:val="Compact"/>
              <w:jc w:val="center"/>
            </w:pPr>
            <w:r>
              <w:t xml:space="preserve">Everest Family Trust</w:t>
            </w:r>
          </w:p>
        </w:tc>
        <w:tc>
          <w:tcPr/>
          <w:p>
            <w:pPr>
              <w:pStyle w:val="Compact"/>
              <w:jc w:val="center"/>
            </w:pPr>
            <w:r>
              <w:t xml:space="preserve">10</w:t>
            </w:r>
          </w:p>
        </w:tc>
        <w:tc>
          <w:tcPr/>
          <w:p>
            <w:pPr>
              <w:pStyle w:val="Compact"/>
              <w:jc w:val="center"/>
            </w:pPr>
            <w:r>
              <w:t xml:space="preserve">0.00</w:t>
            </w:r>
          </w:p>
        </w:tc>
      </w:tr>
      <w:tr>
        <w:tc>
          <w:tcPr/>
          <w:p>
            <w:pPr>
              <w:pStyle w:val="Compact"/>
              <w:jc w:val="center"/>
            </w:pPr>
            <w:r>
              <w:t xml:space="preserve">Acme Corp</w:t>
            </w:r>
          </w:p>
        </w:tc>
        <w:tc>
          <w:tcPr/>
          <w:p>
            <w:pPr>
              <w:pStyle w:val="Compact"/>
              <w:jc w:val="center"/>
            </w:pPr>
            <w:r>
              <w:t xml:space="preserve">10</w:t>
            </w:r>
          </w:p>
        </w:tc>
        <w:tc>
          <w:tcPr/>
          <w:p>
            <w:pPr>
              <w:pStyle w:val="Compact"/>
              <w:jc w:val="center"/>
            </w:pPr>
            <w:r>
              <w:t xml:space="preserve">0.00</w:t>
            </w:r>
          </w:p>
        </w:tc>
      </w:tr>
      <w:tr>
        <w:tc>
          <w:tcPr/>
          <w:p>
            <w:pPr>
              <w:pStyle w:val="Compact"/>
              <w:jc w:val="center"/>
            </w:pPr>
            <w:r>
              <w:t xml:space="preserve">Hooli Inc</w:t>
            </w:r>
          </w:p>
        </w:tc>
        <w:tc>
          <w:tcPr/>
          <w:p>
            <w:pPr>
              <w:pStyle w:val="Compact"/>
              <w:jc w:val="center"/>
            </w:pPr>
            <w:r>
              <w:t xml:space="preserve">10</w:t>
            </w:r>
          </w:p>
        </w:tc>
        <w:tc>
          <w:tcPr/>
          <w:p>
            <w:pPr>
              <w:pStyle w:val="Compact"/>
              <w:jc w:val="center"/>
            </w:pPr>
            <w:r>
              <w:t xml:space="preserve">0.00</w:t>
            </w:r>
          </w:p>
        </w:tc>
      </w:tr>
      <w:tr>
        <w:tc>
          <w:tcPr/>
          <w:p>
            <w:pPr>
              <w:pStyle w:val="Compact"/>
              <w:jc w:val="center"/>
            </w:pPr>
            <w:r>
              <w:t xml:space="preserve">Soylent Corp</w:t>
            </w:r>
          </w:p>
        </w:tc>
        <w:tc>
          <w:tcPr/>
          <w:p>
            <w:pPr>
              <w:pStyle w:val="Compact"/>
              <w:jc w:val="center"/>
            </w:pPr>
            <w:r>
              <w:t xml:space="preserve">10</w:t>
            </w:r>
          </w:p>
        </w:tc>
        <w:tc>
          <w:tcPr/>
          <w:p>
            <w:pPr>
              <w:pStyle w:val="Compact"/>
              <w:jc w:val="center"/>
            </w:pPr>
            <w:r>
              <w:t xml:space="preserve">0.00</w:t>
            </w:r>
          </w:p>
        </w:tc>
      </w:tr>
      <w:tr>
        <w:tc>
          <w:tcPr/>
          <w:p>
            <w:pPr>
              <w:pStyle w:val="Compact"/>
              <w:jc w:val="center"/>
            </w:pPr>
            <w:r>
              <w:t xml:space="preserve">Vandelay Industries</w:t>
            </w:r>
          </w:p>
        </w:tc>
        <w:tc>
          <w:tcPr/>
          <w:p>
            <w:pPr>
              <w:pStyle w:val="Compact"/>
              <w:jc w:val="center"/>
            </w:pPr>
            <w:r>
              <w:t xml:space="preserve">10</w:t>
            </w:r>
          </w:p>
        </w:tc>
        <w:tc>
          <w:tcPr/>
          <w:p>
            <w:pPr>
              <w:pStyle w:val="Compact"/>
              <w:jc w:val="center"/>
            </w:pPr>
            <w:r>
              <w:t xml:space="preserve">0.00</w:t>
            </w:r>
          </w:p>
        </w:tc>
      </w:tr>
    </w:tbl>
    <w:p>
      <w:pPr>
        <w:pStyle w:val="BodyText"/>
      </w:pPr>
      <w:r>
        <w:t xml:space="preserve">Note: Number of Equity shares and cost of acquisition has been adjusted for subsequent sale/transfers made based on the average cost of the acquisition.</w:t>
      </w:r>
    </w:p>
    <w:p>
      <w:pPr>
        <w:pStyle w:val="BodyText"/>
      </w:pPr>
      <w:r>
        <w:t xml:space="preserve">*Also, the Promoter Selling Shareholder</w:t>
      </w:r>
    </w:p>
    <w:p>
      <w:pPr>
        <w:pStyle w:val="BodyText"/>
      </w:pPr>
      <w:r>
        <w:t xml:space="preserve"># Pursuant to a resolution passed by the Board and Shareholders of the Company dated February 10, 2025 and February 11, 2025, respectively, the face value of the equity shares was sub-divided from ₹100 per equity share to ₹5 per Stark Industries. Further, pursuant to a resolution dated February 11, 2025 passed by our Shareholders, the Company approved the issue of bonus shares which were allotted on February 21, 2025</w:t>
      </w:r>
    </w:p>
    <w:p>
      <w:pPr>
        <w:numPr>
          <w:ilvl w:val="0"/>
          <w:numId w:val="1004"/>
        </w:numPr>
        <w:pStyle w:val="Compact"/>
      </w:pPr>
      <w:r>
        <w:t xml:space="preserve">As certified by Initech LLC, Chartered Accountants, our Wonka Ltd, by way of their certificate dated December 10, 2025.</w:t>
      </w:r>
    </w:p>
    <w:p>
      <w:pPr>
        <w:pStyle w:val="FirstParagraph"/>
      </w:pPr>
      <w:r>
        <w:t xml:space="preserve">Weighted average cost of acquisition of all shares transacted in last one year, 18 months and three years preceding the date of this Red Herring Prospectus</w:t>
      </w:r>
    </w:p>
    <w:p>
      <w:pPr>
        <w:pStyle w:val="BodyText"/>
      </w:pPr>
      <w:r>
        <w:t xml:space="preserve">The weighted average price for all equity shares acquired in the last one year, eighteen months and three years preceding the date of this Red Herring Prospectus is mentioned below:</w:t>
      </w:r>
    </w:p>
    <w:tbl>
      <w:tblPr>
        <w:tblStyle w:val="Table"/>
        <w:tblW w:type="pct" w:w="5000"/>
        <w:tblLook w:firstRow="0" w:lastRow="0" w:firstColumn="0" w:lastColumn="0" w:noHBand="0" w:noVBand="0" w:val="0000"/>
        <w:jc w:val="start"/>
      </w:tblPr>
      <w:tblGrid>
        <w:gridCol w:w="1980"/>
        <w:gridCol w:w="1980"/>
        <w:gridCol w:w="1980"/>
        <w:gridCol w:w="1980"/>
      </w:tblGrid>
      <w:tr>
        <w:tc>
          <w:tcPr/>
          <w:p>
            <w:pPr>
              <w:pStyle w:val="Compact"/>
              <w:jc w:val="center"/>
            </w:pPr>
            <w:r>
              <w:t xml:space="preserve">Period</w:t>
            </w:r>
          </w:p>
        </w:tc>
        <w:tc>
          <w:tcPr/>
          <w:p>
            <w:pPr>
              <w:pStyle w:val="Compact"/>
              <w:jc w:val="center"/>
            </w:pPr>
            <w:r>
              <w:t xml:space="preserve">Weighted average cost of acquisition (in ₹)*#</w:t>
            </w:r>
          </w:p>
        </w:tc>
        <w:tc>
          <w:tcPr/>
          <w:p>
            <w:pPr>
              <w:pStyle w:val="Compact"/>
              <w:jc w:val="center"/>
            </w:pPr>
            <w:r>
              <w:t xml:space="preserve">Cap Price is</w:t>
            </w:r>
            <w:r>
              <w:t xml:space="preserve"> </w:t>
            </w:r>
            <w:r>
              <w:t xml:space="preserve">‘</w:t>
            </w:r>
            <w:r>
              <w:t xml:space="preserve">x</w:t>
            </w:r>
            <w:r>
              <w:t xml:space="preserve">’</w:t>
            </w:r>
            <w:r>
              <w:t xml:space="preserve"> </w:t>
            </w:r>
            <w:r>
              <w:t xml:space="preserve">times the weighted average cost of acquisition**</w:t>
            </w:r>
          </w:p>
        </w:tc>
        <w:tc>
          <w:tcPr/>
          <w:p>
            <w:pPr>
              <w:pStyle w:val="Compact"/>
              <w:jc w:val="center"/>
            </w:pPr>
            <w:r>
              <w:t xml:space="preserve">Range of acquisition price per Stark Industries of face value of ₹5: lowest price – highest price (in ₹)#</w:t>
            </w:r>
          </w:p>
        </w:tc>
      </w:tr>
      <w:tr>
        <w:tc>
          <w:tcPr/>
          <w:p>
            <w:pPr>
              <w:pStyle w:val="Compact"/>
              <w:jc w:val="center"/>
            </w:pPr>
            <w:r>
              <w:t xml:space="preserve">Last one year</w:t>
            </w:r>
          </w:p>
        </w:tc>
        <w:tc>
          <w:tcPr/>
          <w:p>
            <w:pPr>
              <w:pStyle w:val="Compact"/>
              <w:jc w:val="center"/>
            </w:pPr>
            <w:r>
              <w:t xml:space="preserve">384.01</w:t>
            </w:r>
          </w:p>
        </w:tc>
        <w:tc>
          <w:tcPr/>
          <w:p>
            <w:pPr>
              <w:pStyle w:val="Compact"/>
              <w:jc w:val="center"/>
            </w:pPr>
            <w:r>
              <w:t xml:space="preserve">To be updated upon finalization of the price band.</w:t>
            </w:r>
          </w:p>
        </w:tc>
        <w:tc>
          <w:tcPr/>
          <w:p>
            <w:pPr>
              <w:pStyle w:val="Compact"/>
              <w:jc w:val="center"/>
            </w:pPr>
            <w:r>
              <w:t xml:space="preserve">0.00 – 530.00</w:t>
            </w:r>
          </w:p>
        </w:tc>
      </w:tr>
      <w:tr>
        <w:tc>
          <w:tcPr/>
          <w:p>
            <w:pPr>
              <w:pStyle w:val="Compact"/>
              <w:jc w:val="center"/>
            </w:pPr>
            <w:r>
              <w:t xml:space="preserve">Last trailing 18 months</w:t>
            </w:r>
          </w:p>
        </w:tc>
        <w:tc>
          <w:tcPr/>
          <w:p>
            <w:pPr>
              <w:pStyle w:val="Compact"/>
              <w:jc w:val="center"/>
            </w:pPr>
            <w:r>
              <w:t xml:space="preserve">384.01</w:t>
            </w:r>
          </w:p>
        </w:tc>
        <w:tc>
          <w:tcPr/>
          <w:p>
            <w:pPr>
              <w:pStyle w:val="Compact"/>
              <w:jc w:val="center"/>
            </w:pPr>
            <w:r>
              <w:t xml:space="preserve">0.00 – 530.00</w:t>
            </w:r>
          </w:p>
        </w:tc>
        <w:tc>
          <w:tcPr/>
          <w:p>
            <w:pPr>
              <w:pStyle w:val="Compact"/>
            </w:pPr>
          </w:p>
        </w:tc>
      </w:tr>
      <w:tr>
        <w:tc>
          <w:tcPr/>
          <w:p>
            <w:pPr>
              <w:pStyle w:val="Compact"/>
              <w:jc w:val="center"/>
            </w:pPr>
            <w:r>
              <w:t xml:space="preserve">Last three years</w:t>
            </w:r>
          </w:p>
        </w:tc>
        <w:tc>
          <w:tcPr/>
          <w:p>
            <w:pPr>
              <w:pStyle w:val="Compact"/>
              <w:jc w:val="center"/>
            </w:pPr>
            <w:r>
              <w:t xml:space="preserve">384.01</w:t>
            </w:r>
          </w:p>
        </w:tc>
        <w:tc>
          <w:tcPr/>
          <w:p>
            <w:pPr>
              <w:pStyle w:val="Compact"/>
              <w:jc w:val="center"/>
            </w:pPr>
            <w:r>
              <w:t xml:space="preserve">0.00 – 530.00</w:t>
            </w:r>
          </w:p>
        </w:tc>
        <w:tc>
          <w:tcPr/>
          <w:p>
            <w:pPr>
              <w:pStyle w:val="Compact"/>
            </w:pPr>
          </w:p>
        </w:tc>
      </w:tr>
    </w:tbl>
    <w:p>
      <w:pPr>
        <w:pStyle w:val="BodyText"/>
      </w:pPr>
      <w:r>
        <w:t xml:space="preserve">* As certified by Initech LLC, Chartered Accountants, our Wonka Ltd, by way of their certificate dated December 10, 2025.</w:t>
      </w:r>
    </w:p>
    <w:p>
      <w:pPr>
        <w:pStyle w:val="BodyText"/>
      </w:pPr>
      <w:r>
        <w:t xml:space="preserve">** To be updated in the Prospectus.</w:t>
      </w:r>
    </w:p>
    <w:p>
      <w:pPr>
        <w:pStyle w:val="BodyText"/>
      </w:pPr>
      <w:r>
        <w:t xml:space="preserve"># Impact of bonus and sub-division of shares have been taken only on transactions that have been transacted during the last 1 year, trailing 18 months and last 3 years.</w:t>
      </w:r>
    </w:p>
    <w:p>
      <w:pPr>
        <w:pStyle w:val="BodyText"/>
      </w:pPr>
      <w:r>
        <w:t xml:space="preserve">Average cost of acquisition of Globex Inc by our Promoters and the Promoter Selling Shareholders</w:t>
      </w:r>
    </w:p>
    <w:p>
      <w:pPr>
        <w:pStyle w:val="BodyText"/>
      </w:pPr>
      <w:r>
        <w:t xml:space="preserve">The average cost of acquisition of Globex Inc by our Promoters and the Promoter Selling Shareholders as on the date of this Red Herring Prospectus, is as set forth below:</w:t>
      </w:r>
    </w:p>
    <w:tbl>
      <w:tblPr>
        <w:tblStyle w:val="Table"/>
        <w:tblW w:type="pct" w:w="5000"/>
        <w:tblLook w:firstRow="0" w:lastRow="0" w:firstColumn="0" w:lastColumn="0" w:noHBand="0" w:noVBand="0" w:val="0000"/>
        <w:jc w:val="start"/>
      </w:tblPr>
      <w:tblGrid>
        <w:gridCol w:w="2640"/>
        <w:gridCol w:w="2640"/>
        <w:gridCol w:w="2640"/>
      </w:tblGrid>
      <w:tr>
        <w:tc>
          <w:tcPr/>
          <w:p>
            <w:pPr>
              <w:pStyle w:val="Compact"/>
              <w:jc w:val="center"/>
            </w:pPr>
            <w:r>
              <w:t xml:space="preserve">Name of Promoter</w:t>
            </w:r>
          </w:p>
        </w:tc>
        <w:tc>
          <w:tcPr/>
          <w:p>
            <w:pPr>
              <w:pStyle w:val="Compact"/>
              <w:jc w:val="center"/>
            </w:pPr>
            <w:r>
              <w:t xml:space="preserve">Number of Equity Shares held of face value of ₹5 each</w:t>
            </w:r>
          </w:p>
        </w:tc>
        <w:tc>
          <w:tcPr/>
          <w:p>
            <w:pPr>
              <w:pStyle w:val="Compact"/>
              <w:jc w:val="center"/>
            </w:pPr>
            <w:r>
              <w:t xml:space="preserve">Average cost per Stark Industries of face values of ₹5 each** (₹)</w:t>
            </w:r>
          </w:p>
        </w:tc>
      </w:tr>
      <w:tr>
        <w:tc>
          <w:tcPr/>
          <w:p>
            <w:pPr>
              <w:pStyle w:val="Compact"/>
              <w:jc w:val="center"/>
            </w:pPr>
            <w:r>
              <w:t xml:space="preserve">Sam Wilson Hegde*</w:t>
            </w:r>
          </w:p>
        </w:tc>
        <w:tc>
          <w:tcPr/>
          <w:p>
            <w:pPr>
              <w:pStyle w:val="Compact"/>
              <w:jc w:val="center"/>
            </w:pPr>
            <w:r>
              <w:t xml:space="preserve">26,704,570</w:t>
            </w:r>
          </w:p>
        </w:tc>
        <w:tc>
          <w:tcPr/>
          <w:p>
            <w:pPr>
              <w:pStyle w:val="Compact"/>
              <w:jc w:val="center"/>
            </w:pPr>
            <w:r>
              <w:t xml:space="preserve">1.36</w:t>
            </w:r>
          </w:p>
        </w:tc>
      </w:tr>
      <w:tr>
        <w:tc>
          <w:tcPr/>
          <w:p>
            <w:pPr>
              <w:pStyle w:val="Compact"/>
              <w:jc w:val="center"/>
            </w:pPr>
            <w:r>
              <w:t xml:space="preserve">Sam Brown Hegde*</w:t>
            </w:r>
          </w:p>
        </w:tc>
        <w:tc>
          <w:tcPr/>
          <w:p>
            <w:pPr>
              <w:pStyle w:val="Compact"/>
              <w:jc w:val="center"/>
            </w:pPr>
            <w:r>
              <w:t xml:space="preserve">7,386,270</w:t>
            </w:r>
          </w:p>
        </w:tc>
        <w:tc>
          <w:tcPr/>
          <w:p>
            <w:pPr>
              <w:pStyle w:val="Compact"/>
              <w:jc w:val="center"/>
            </w:pPr>
            <w:r>
              <w:t xml:space="preserve">1.51</w:t>
            </w:r>
          </w:p>
        </w:tc>
      </w:tr>
      <w:tr>
        <w:tc>
          <w:tcPr/>
          <w:p>
            <w:pPr>
              <w:pStyle w:val="Compact"/>
              <w:jc w:val="center"/>
            </w:pPr>
            <w:r>
              <w:t xml:space="preserve">Sam Lee Hegde*</w:t>
            </w:r>
          </w:p>
        </w:tc>
        <w:tc>
          <w:tcPr/>
          <w:p>
            <w:pPr>
              <w:pStyle w:val="Compact"/>
              <w:jc w:val="center"/>
            </w:pPr>
            <w:r>
              <w:t xml:space="preserve">10,907,771</w:t>
            </w:r>
          </w:p>
        </w:tc>
        <w:tc>
          <w:tcPr/>
          <w:p>
            <w:pPr>
              <w:pStyle w:val="Compact"/>
              <w:jc w:val="center"/>
            </w:pPr>
            <w:r>
              <w:t xml:space="preserve">1.41</w:t>
            </w:r>
          </w:p>
        </w:tc>
      </w:tr>
      <w:tr>
        <w:tc>
          <w:tcPr/>
          <w:p>
            <w:pPr>
              <w:pStyle w:val="Compact"/>
              <w:jc w:val="center"/>
            </w:pPr>
            <w:r>
              <w:t xml:space="preserve">Sam Johnson Hegde*</w:t>
            </w:r>
          </w:p>
        </w:tc>
        <w:tc>
          <w:tcPr/>
          <w:p>
            <w:pPr>
              <w:pStyle w:val="Compact"/>
              <w:jc w:val="center"/>
            </w:pPr>
            <w:r>
              <w:t xml:space="preserve">10,907,771</w:t>
            </w:r>
          </w:p>
        </w:tc>
        <w:tc>
          <w:tcPr/>
          <w:p>
            <w:pPr>
              <w:pStyle w:val="Compact"/>
              <w:jc w:val="center"/>
            </w:pPr>
            <w:r>
              <w:t xml:space="preserve">1.35</w:t>
            </w:r>
          </w:p>
        </w:tc>
      </w:tr>
      <w:tr>
        <w:tc>
          <w:tcPr/>
          <w:p>
            <w:pPr>
              <w:pStyle w:val="Compact"/>
              <w:jc w:val="center"/>
            </w:pPr>
            <w:r>
              <w:t xml:space="preserve">Umbrella Ltd</w:t>
            </w:r>
          </w:p>
        </w:tc>
        <w:tc>
          <w:tcPr/>
          <w:p>
            <w:pPr>
              <w:pStyle w:val="Compact"/>
              <w:jc w:val="center"/>
            </w:pPr>
            <w:r>
              <w:t xml:space="preserve">100</w:t>
            </w:r>
          </w:p>
        </w:tc>
        <w:tc>
          <w:tcPr/>
          <w:p>
            <w:pPr>
              <w:pStyle w:val="Compact"/>
              <w:jc w:val="center"/>
            </w:pPr>
            <w:r>
              <w:t xml:space="preserve">530.00</w:t>
            </w:r>
          </w:p>
        </w:tc>
      </w:tr>
      <w:tr>
        <w:tc>
          <w:tcPr/>
          <w:p>
            <w:pPr>
              <w:pStyle w:val="Compact"/>
              <w:jc w:val="center"/>
            </w:pPr>
            <w:r>
              <w:t xml:space="preserve">Globex Inc</w:t>
            </w:r>
          </w:p>
        </w:tc>
        <w:tc>
          <w:tcPr/>
          <w:p>
            <w:pPr>
              <w:pStyle w:val="Compact"/>
              <w:jc w:val="center"/>
            </w:pPr>
            <w:r>
              <w:t xml:space="preserve">10</w:t>
            </w:r>
          </w:p>
        </w:tc>
        <w:tc>
          <w:tcPr/>
          <w:p>
            <w:pPr>
              <w:pStyle w:val="Compact"/>
              <w:jc w:val="center"/>
            </w:pPr>
            <w:r>
              <w:t xml:space="preserve">0.00</w:t>
            </w:r>
          </w:p>
        </w:tc>
      </w:tr>
      <w:tr>
        <w:tc>
          <w:tcPr/>
          <w:p>
            <w:pPr>
              <w:pStyle w:val="Compact"/>
              <w:jc w:val="center"/>
            </w:pPr>
            <w:r>
              <w:t xml:space="preserve">Everest Family Trust</w:t>
            </w:r>
          </w:p>
        </w:tc>
        <w:tc>
          <w:tcPr/>
          <w:p>
            <w:pPr>
              <w:pStyle w:val="Compact"/>
              <w:jc w:val="center"/>
            </w:pPr>
            <w:r>
              <w:t xml:space="preserve">10</w:t>
            </w:r>
          </w:p>
        </w:tc>
        <w:tc>
          <w:tcPr/>
          <w:p>
            <w:pPr>
              <w:pStyle w:val="Compact"/>
              <w:jc w:val="center"/>
            </w:pPr>
            <w:r>
              <w:t xml:space="preserve">0.00</w:t>
            </w:r>
          </w:p>
        </w:tc>
      </w:tr>
      <w:tr>
        <w:tc>
          <w:tcPr/>
          <w:p>
            <w:pPr>
              <w:pStyle w:val="Compact"/>
              <w:jc w:val="center"/>
            </w:pPr>
            <w:r>
              <w:t xml:space="preserve">Acme Corp</w:t>
            </w:r>
          </w:p>
        </w:tc>
        <w:tc>
          <w:tcPr/>
          <w:p>
            <w:pPr>
              <w:pStyle w:val="Compact"/>
              <w:jc w:val="center"/>
            </w:pPr>
            <w:r>
              <w:t xml:space="preserve">10</w:t>
            </w:r>
          </w:p>
        </w:tc>
        <w:tc>
          <w:tcPr/>
          <w:p>
            <w:pPr>
              <w:pStyle w:val="Compact"/>
              <w:jc w:val="center"/>
            </w:pPr>
            <w:r>
              <w:t xml:space="preserve">0.00</w:t>
            </w:r>
          </w:p>
        </w:tc>
      </w:tr>
      <w:tr>
        <w:tc>
          <w:tcPr/>
          <w:p>
            <w:pPr>
              <w:pStyle w:val="Compact"/>
              <w:jc w:val="center"/>
            </w:pPr>
            <w:r>
              <w:t xml:space="preserve">Hooli Inc</w:t>
            </w:r>
          </w:p>
        </w:tc>
        <w:tc>
          <w:tcPr/>
          <w:p>
            <w:pPr>
              <w:pStyle w:val="Compact"/>
              <w:jc w:val="center"/>
            </w:pPr>
            <w:r>
              <w:t xml:space="preserve">10</w:t>
            </w:r>
          </w:p>
        </w:tc>
        <w:tc>
          <w:tcPr/>
          <w:p>
            <w:pPr>
              <w:pStyle w:val="Compact"/>
              <w:jc w:val="center"/>
            </w:pPr>
            <w:r>
              <w:t xml:space="preserve">0.00</w:t>
            </w:r>
          </w:p>
        </w:tc>
      </w:tr>
      <w:tr>
        <w:tc>
          <w:tcPr/>
          <w:p>
            <w:pPr>
              <w:pStyle w:val="Compact"/>
              <w:jc w:val="center"/>
            </w:pPr>
            <w:r>
              <w:t xml:space="preserve">Soylent Corp</w:t>
            </w:r>
          </w:p>
        </w:tc>
        <w:tc>
          <w:tcPr/>
          <w:p>
            <w:pPr>
              <w:pStyle w:val="Compact"/>
              <w:jc w:val="center"/>
            </w:pPr>
            <w:r>
              <w:t xml:space="preserve">10</w:t>
            </w:r>
          </w:p>
        </w:tc>
        <w:tc>
          <w:tcPr/>
          <w:p>
            <w:pPr>
              <w:pStyle w:val="Compact"/>
              <w:jc w:val="center"/>
            </w:pPr>
            <w:r>
              <w:t xml:space="preserve">0.00</w:t>
            </w:r>
          </w:p>
        </w:tc>
      </w:tr>
      <w:tr>
        <w:tc>
          <w:tcPr/>
          <w:p>
            <w:pPr>
              <w:pStyle w:val="Compact"/>
              <w:jc w:val="center"/>
            </w:pPr>
            <w:r>
              <w:t xml:space="preserve">Vandelay Industries</w:t>
            </w:r>
          </w:p>
        </w:tc>
        <w:tc>
          <w:tcPr/>
          <w:p>
            <w:pPr>
              <w:pStyle w:val="Compact"/>
              <w:jc w:val="center"/>
            </w:pPr>
            <w:r>
              <w:t xml:space="preserve">10</w:t>
            </w:r>
          </w:p>
        </w:tc>
        <w:tc>
          <w:tcPr/>
          <w:p>
            <w:pPr>
              <w:pStyle w:val="Compact"/>
              <w:jc w:val="center"/>
            </w:pPr>
            <w:r>
              <w:t xml:space="preserve">0.00</w:t>
            </w:r>
          </w:p>
        </w:tc>
      </w:tr>
    </w:tbl>
    <w:p>
      <w:pPr>
        <w:pStyle w:val="BodyText"/>
      </w:pPr>
      <w:r>
        <w:t xml:space="preserve">Note: Number of Equity shares and cost of acquisition has been adjusted for subsequent sale/transfers made based on the average cost of the acquisition.</w:t>
      </w:r>
    </w:p>
    <w:p>
      <w:pPr>
        <w:pStyle w:val="BodyText"/>
      </w:pPr>
      <w:r>
        <w:t xml:space="preserve">** As certified by Initech LLC, Chartered Accountants, our Wonka Ltd, by way of their certificate dated December 10, 2025.</w:t>
      </w:r>
    </w:p>
    <w:p>
      <w:pPr>
        <w:pStyle w:val="BodyText"/>
      </w:pPr>
      <w:r>
        <w:t xml:space="preserve">* Also, Promoter Selling Shareholders.</w:t>
      </w:r>
    </w:p>
    <w:p>
      <w:pPr>
        <w:pStyle w:val="BodyText"/>
      </w:pPr>
      <w:r>
        <w:t xml:space="preserve">Details of price at which specified securities of our Company were acquired by our Promoters, members of the Promoter Group, Promoter Selling Shareholders and Shareholders with the right to nominate Directors or any other special rights in the three years preceding the date of this Red Herring Prospectus</w:t>
      </w:r>
    </w:p>
    <w:p>
      <w:pPr>
        <w:pStyle w:val="BodyText"/>
      </w:pPr>
      <w:r>
        <w:t xml:space="preserve">Except as stated below, none of our Promoters and members of our Umbrella Ltd, Promoter Selling Shareholders and Shareholders with right to nominate directors or other special rights have acquired any Equity in the three years immediately preceding the date of this Red Herring Prospectus:</w:t>
      </w:r>
    </w:p>
    <w:tbl>
      <w:tblPr>
        <w:tblStyle w:val="Table"/>
        <w:tblW w:type="pct" w:w="5000"/>
        <w:tblLook w:firstRow="0" w:lastRow="0" w:firstColumn="0" w:lastColumn="0" w:noHBand="0" w:noVBand="0" w:val="0000"/>
        <w:jc w:val="start"/>
      </w:tblPr>
      <w:tblGrid>
        <w:gridCol w:w="1584"/>
        <w:gridCol w:w="1584"/>
        <w:gridCol w:w="1584"/>
        <w:gridCol w:w="1584"/>
        <w:gridCol w:w="1584"/>
      </w:tblGrid>
      <w:tr>
        <w:tc>
          <w:tcPr/>
          <w:p>
            <w:pPr>
              <w:pStyle w:val="Compact"/>
              <w:jc w:val="center"/>
            </w:pPr>
            <w:r>
              <w:t xml:space="preserve">Name of Shareholder</w:t>
            </w:r>
          </w:p>
        </w:tc>
        <w:tc>
          <w:tcPr/>
          <w:p>
            <w:pPr>
              <w:pStyle w:val="Compact"/>
              <w:jc w:val="center"/>
            </w:pPr>
            <w:r>
              <w:t xml:space="preserve">Date of acquisition</w:t>
            </w:r>
          </w:p>
        </w:tc>
        <w:tc>
          <w:tcPr/>
          <w:p>
            <w:pPr>
              <w:pStyle w:val="Compact"/>
              <w:jc w:val="center"/>
            </w:pPr>
            <w:r>
              <w:t xml:space="preserve">Number of equity shares acquired</w:t>
            </w:r>
          </w:p>
        </w:tc>
        <w:tc>
          <w:tcPr/>
          <w:p>
            <w:pPr>
              <w:pStyle w:val="Compact"/>
              <w:jc w:val="center"/>
            </w:pPr>
            <w:r>
              <w:t xml:space="preserve">Face value (₹)</w:t>
            </w:r>
          </w:p>
        </w:tc>
        <w:tc>
          <w:tcPr/>
          <w:p>
            <w:pPr>
              <w:pStyle w:val="Compact"/>
              <w:jc w:val="center"/>
            </w:pPr>
            <w:r>
              <w:t xml:space="preserve">Acquisition price per equity share^ (in ₹)</w:t>
            </w:r>
          </w:p>
        </w:tc>
      </w:tr>
      <w:tr>
        <w:tc>
          <w:tcPr/>
          <w:p>
            <w:pPr>
              <w:pStyle w:val="Compact"/>
              <w:jc w:val="center"/>
            </w:pPr>
            <w:r>
              <w:t xml:space="preserve">Promoters</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Kushal Subbayya Hegde*^&amp;</w:t>
            </w:r>
          </w:p>
        </w:tc>
        <w:tc>
          <w:tcPr/>
          <w:p>
            <w:pPr>
              <w:pStyle w:val="Compact"/>
              <w:jc w:val="center"/>
            </w:pPr>
            <w:r>
              <w:t xml:space="preserve">February 21, 2025</w:t>
            </w:r>
          </w:p>
        </w:tc>
        <w:tc>
          <w:tcPr/>
          <w:p>
            <w:pPr>
              <w:pStyle w:val="Compact"/>
              <w:jc w:val="center"/>
            </w:pPr>
            <w:r>
              <w:t xml:space="preserve">21,363,680</w:t>
            </w:r>
          </w:p>
        </w:tc>
        <w:tc>
          <w:tcPr/>
          <w:p>
            <w:pPr>
              <w:pStyle w:val="Compact"/>
              <w:jc w:val="center"/>
            </w:pPr>
            <w:r>
              <w:t xml:space="preserve">5</w:t>
            </w:r>
          </w:p>
        </w:tc>
        <w:tc>
          <w:tcPr/>
          <w:p>
            <w:pPr>
              <w:pStyle w:val="Compact"/>
              <w:jc w:val="center"/>
            </w:pPr>
            <w:r>
              <w:t xml:space="preserve">0.00</w:t>
            </w:r>
          </w:p>
        </w:tc>
      </w:tr>
      <w:tr>
        <w:tc>
          <w:tcPr/>
          <w:p>
            <w:pPr>
              <w:pStyle w:val="Compact"/>
              <w:jc w:val="center"/>
            </w:pPr>
            <w:r>
              <w:t xml:space="preserve">Pushpa Kushal Hegde*^&amp;</w:t>
            </w:r>
          </w:p>
        </w:tc>
        <w:tc>
          <w:tcPr/>
          <w:p>
            <w:pPr>
              <w:pStyle w:val="Compact"/>
              <w:jc w:val="center"/>
            </w:pPr>
            <w:r>
              <w:t xml:space="preserve">February 21, 2025</w:t>
            </w:r>
          </w:p>
        </w:tc>
        <w:tc>
          <w:tcPr/>
          <w:p>
            <w:pPr>
              <w:pStyle w:val="Compact"/>
              <w:jc w:val="center"/>
            </w:pPr>
            <w:r>
              <w:t xml:space="preserve">5,909,040</w:t>
            </w:r>
          </w:p>
        </w:tc>
        <w:tc>
          <w:tcPr/>
          <w:p>
            <w:pPr>
              <w:pStyle w:val="Compact"/>
              <w:jc w:val="center"/>
            </w:pPr>
            <w:r>
              <w:t xml:space="preserve">5</w:t>
            </w:r>
          </w:p>
        </w:tc>
        <w:tc>
          <w:tcPr/>
          <w:p>
            <w:pPr>
              <w:pStyle w:val="Compact"/>
              <w:jc w:val="center"/>
            </w:pPr>
            <w:r>
              <w:t xml:space="preserve">0.00</w:t>
            </w:r>
          </w:p>
        </w:tc>
      </w:tr>
      <w:tr>
        <w:tc>
          <w:tcPr/>
          <w:p>
            <w:pPr>
              <w:pStyle w:val="Compact"/>
              <w:jc w:val="center"/>
            </w:pPr>
            <w:r>
              <w:t xml:space="preserve">Rajesh Kushal Hegde*^&amp;</w:t>
            </w:r>
          </w:p>
        </w:tc>
        <w:tc>
          <w:tcPr/>
          <w:p>
            <w:pPr>
              <w:pStyle w:val="Compact"/>
              <w:jc w:val="center"/>
            </w:pPr>
            <w:r>
              <w:t xml:space="preserve">February 21, 2025</w:t>
            </w:r>
          </w:p>
        </w:tc>
        <w:tc>
          <w:tcPr/>
          <w:p>
            <w:pPr>
              <w:pStyle w:val="Compact"/>
              <w:jc w:val="center"/>
            </w:pPr>
            <w:r>
              <w:t xml:space="preserve">9,090,800</w:t>
            </w:r>
          </w:p>
        </w:tc>
        <w:tc>
          <w:tcPr/>
          <w:p>
            <w:pPr>
              <w:pStyle w:val="Compact"/>
              <w:jc w:val="center"/>
            </w:pPr>
            <w:r>
              <w:t xml:space="preserve">5</w:t>
            </w:r>
          </w:p>
        </w:tc>
        <w:tc>
          <w:tcPr/>
          <w:p>
            <w:pPr>
              <w:pStyle w:val="Compact"/>
              <w:jc w:val="center"/>
            </w:pPr>
            <w:r>
              <w:t xml:space="preserve">0.00</w:t>
            </w:r>
          </w:p>
        </w:tc>
      </w:tr>
      <w:tr>
        <w:tc>
          <w:tcPr/>
          <w:p>
            <w:pPr>
              <w:pStyle w:val="Compact"/>
              <w:jc w:val="center"/>
            </w:pPr>
            <w:r>
              <w:t xml:space="preserve">Rohit Kushal Hegde*^&amp;</w:t>
            </w:r>
          </w:p>
        </w:tc>
        <w:tc>
          <w:tcPr/>
          <w:p>
            <w:pPr>
              <w:pStyle w:val="Compact"/>
              <w:jc w:val="center"/>
            </w:pPr>
            <w:r>
              <w:t xml:space="preserve">February 21, 2025</w:t>
            </w:r>
          </w:p>
        </w:tc>
        <w:tc>
          <w:tcPr/>
          <w:p>
            <w:pPr>
              <w:pStyle w:val="Compact"/>
              <w:jc w:val="center"/>
            </w:pPr>
            <w:r>
              <w:t xml:space="preserve">9,090,800</w:t>
            </w:r>
          </w:p>
        </w:tc>
        <w:tc>
          <w:tcPr/>
          <w:p>
            <w:pPr>
              <w:pStyle w:val="Compact"/>
              <w:jc w:val="center"/>
            </w:pPr>
            <w:r>
              <w:t xml:space="preserve">5</w:t>
            </w:r>
          </w:p>
        </w:tc>
        <w:tc>
          <w:tcPr/>
          <w:p>
            <w:pPr>
              <w:pStyle w:val="Compact"/>
              <w:jc w:val="center"/>
            </w:pPr>
            <w:r>
              <w:t xml:space="preserve">0.00</w:t>
            </w:r>
          </w:p>
        </w:tc>
      </w:tr>
      <w:tr>
        <w:tc>
          <w:tcPr/>
          <w:p>
            <w:pPr>
              <w:pStyle w:val="Compact"/>
              <w:jc w:val="center"/>
            </w:pPr>
            <w:r>
              <w:t xml:space="preserve">Globex Inc</w:t>
            </w:r>
          </w:p>
        </w:tc>
        <w:tc>
          <w:tcPr/>
          <w:p>
            <w:pPr>
              <w:pStyle w:val="Compact"/>
              <w:jc w:val="center"/>
            </w:pPr>
            <w:r>
              <w:t xml:space="preserve">December 17, 2024</w:t>
            </w:r>
          </w:p>
        </w:tc>
        <w:tc>
          <w:tcPr/>
          <w:p>
            <w:pPr>
              <w:pStyle w:val="Compact"/>
              <w:jc w:val="center"/>
            </w:pPr>
            <w:r>
              <w:t xml:space="preserve">1</w:t>
            </w:r>
          </w:p>
        </w:tc>
        <w:tc>
          <w:tcPr/>
          <w:p>
            <w:pPr>
              <w:pStyle w:val="Compact"/>
              <w:jc w:val="center"/>
            </w:pPr>
            <w:r>
              <w:t xml:space="preserve">100</w:t>
            </w:r>
          </w:p>
        </w:tc>
        <w:tc>
          <w:tcPr/>
          <w:p>
            <w:pPr>
              <w:pStyle w:val="Compact"/>
              <w:jc w:val="center"/>
            </w:pPr>
            <w:r>
              <w:t xml:space="preserve">53,000.00</w:t>
            </w:r>
          </w:p>
        </w:tc>
      </w:tr>
      <w:tr>
        <w:tc>
          <w:tcPr/>
          <w:p>
            <w:pPr>
              <w:pStyle w:val="Compact"/>
              <w:jc w:val="center"/>
            </w:pPr>
            <w:r>
              <w:t xml:space="preserve">Rakhi Girija Shetty^&amp;</w:t>
            </w:r>
          </w:p>
        </w:tc>
        <w:tc>
          <w:tcPr/>
          <w:p>
            <w:pPr>
              <w:pStyle w:val="Compact"/>
              <w:jc w:val="center"/>
            </w:pPr>
            <w:r>
              <w:t xml:space="preserve">February 21, 2025</w:t>
            </w:r>
          </w:p>
        </w:tc>
        <w:tc>
          <w:tcPr/>
          <w:p>
            <w:pPr>
              <w:pStyle w:val="Compact"/>
              <w:jc w:val="center"/>
            </w:pPr>
            <w:r>
              <w:t xml:space="preserve">80</w:t>
            </w:r>
          </w:p>
        </w:tc>
        <w:tc>
          <w:tcPr/>
          <w:p>
            <w:pPr>
              <w:pStyle w:val="Compact"/>
              <w:jc w:val="center"/>
            </w:pPr>
            <w:r>
              <w:t xml:space="preserve">5</w:t>
            </w:r>
          </w:p>
        </w:tc>
        <w:tc>
          <w:tcPr/>
          <w:p>
            <w:pPr>
              <w:pStyle w:val="Compact"/>
              <w:jc w:val="center"/>
            </w:pPr>
            <w:r>
              <w:t xml:space="preserve">0.00</w:t>
            </w:r>
          </w:p>
        </w:tc>
      </w:tr>
      <w:tr>
        <w:tc>
          <w:tcPr/>
          <w:p>
            <w:pPr>
              <w:pStyle w:val="Compact"/>
              <w:jc w:val="center"/>
            </w:pPr>
            <w:r>
              <w:t xml:space="preserve">Acme Corp</w:t>
            </w:r>
          </w:p>
        </w:tc>
        <w:tc>
          <w:tcPr/>
          <w:p>
            <w:pPr>
              <w:pStyle w:val="Compact"/>
              <w:jc w:val="center"/>
            </w:pPr>
            <w:r>
              <w:t xml:space="preserve">May 7, 2025</w:t>
            </w:r>
          </w:p>
        </w:tc>
        <w:tc>
          <w:tcPr/>
          <w:p>
            <w:pPr>
              <w:pStyle w:val="Compact"/>
              <w:jc w:val="center"/>
            </w:pPr>
            <w:r>
              <w:t xml:space="preserve">10</w:t>
            </w:r>
          </w:p>
        </w:tc>
        <w:tc>
          <w:tcPr/>
          <w:p>
            <w:pPr>
              <w:pStyle w:val="Compact"/>
              <w:jc w:val="center"/>
            </w:pPr>
            <w:r>
              <w:t xml:space="preserve">5</w:t>
            </w:r>
          </w:p>
        </w:tc>
        <w:tc>
          <w:tcPr/>
          <w:p>
            <w:pPr>
              <w:pStyle w:val="Compact"/>
              <w:jc w:val="center"/>
            </w:pPr>
            <w:r>
              <w:t xml:space="preserve">0.00</w:t>
            </w:r>
          </w:p>
        </w:tc>
      </w:tr>
      <w:tr>
        <w:tc>
          <w:tcPr/>
          <w:p>
            <w:pPr>
              <w:pStyle w:val="Compact"/>
              <w:jc w:val="center"/>
            </w:pPr>
            <w:r>
              <w:t xml:space="preserve">Wonka Ltd</w:t>
            </w:r>
          </w:p>
        </w:tc>
        <w:tc>
          <w:tcPr/>
          <w:p>
            <w:pPr>
              <w:pStyle w:val="Compact"/>
              <w:jc w:val="center"/>
            </w:pPr>
            <w:r>
              <w:t xml:space="preserve">May 7, 2025</w:t>
            </w:r>
          </w:p>
        </w:tc>
        <w:tc>
          <w:tcPr/>
          <w:p>
            <w:pPr>
              <w:pStyle w:val="Compact"/>
              <w:jc w:val="center"/>
            </w:pPr>
            <w:r>
              <w:t xml:space="preserve">10</w:t>
            </w:r>
          </w:p>
        </w:tc>
        <w:tc>
          <w:tcPr/>
          <w:p>
            <w:pPr>
              <w:pStyle w:val="Compact"/>
              <w:jc w:val="center"/>
            </w:pPr>
            <w:r>
              <w:t xml:space="preserve">5</w:t>
            </w:r>
          </w:p>
        </w:tc>
        <w:tc>
          <w:tcPr/>
          <w:p>
            <w:pPr>
              <w:pStyle w:val="Compact"/>
              <w:jc w:val="center"/>
            </w:pPr>
            <w:r>
              <w:t xml:space="preserve">0.00</w:t>
            </w:r>
          </w:p>
        </w:tc>
      </w:tr>
      <w:tr>
        <w:tc>
          <w:tcPr/>
          <w:p>
            <w:pPr>
              <w:pStyle w:val="Compact"/>
              <w:jc w:val="center"/>
            </w:pPr>
            <w:r>
              <w:t xml:space="preserve">Vandelay Industries</w:t>
            </w:r>
          </w:p>
        </w:tc>
        <w:tc>
          <w:tcPr/>
          <w:p>
            <w:pPr>
              <w:pStyle w:val="Compact"/>
              <w:jc w:val="center"/>
            </w:pPr>
            <w:r>
              <w:t xml:space="preserve">May 7, 2025</w:t>
            </w:r>
          </w:p>
        </w:tc>
        <w:tc>
          <w:tcPr/>
          <w:p>
            <w:pPr>
              <w:pStyle w:val="Compact"/>
              <w:jc w:val="center"/>
            </w:pPr>
            <w:r>
              <w:t xml:space="preserve">10</w:t>
            </w:r>
          </w:p>
        </w:tc>
        <w:tc>
          <w:tcPr/>
          <w:p>
            <w:pPr>
              <w:pStyle w:val="Compact"/>
              <w:jc w:val="center"/>
            </w:pPr>
            <w:r>
              <w:t xml:space="preserve">5</w:t>
            </w:r>
          </w:p>
        </w:tc>
        <w:tc>
          <w:tcPr/>
          <w:p>
            <w:pPr>
              <w:pStyle w:val="Compact"/>
              <w:jc w:val="center"/>
            </w:pPr>
            <w:r>
              <w:t xml:space="preserve">0.00</w:t>
            </w:r>
          </w:p>
        </w:tc>
      </w:tr>
      <w:tr>
        <w:tc>
          <w:tcPr/>
          <w:p>
            <w:pPr>
              <w:pStyle w:val="Compact"/>
              <w:jc w:val="center"/>
            </w:pPr>
            <w:r>
              <w:t xml:space="preserve">Soylent Corp</w:t>
            </w:r>
          </w:p>
        </w:tc>
        <w:tc>
          <w:tcPr/>
          <w:p>
            <w:pPr>
              <w:pStyle w:val="Compact"/>
              <w:jc w:val="center"/>
            </w:pPr>
            <w:r>
              <w:t xml:space="preserve">May 8, 2025</w:t>
            </w:r>
          </w:p>
        </w:tc>
        <w:tc>
          <w:tcPr/>
          <w:p>
            <w:pPr>
              <w:pStyle w:val="Compact"/>
              <w:jc w:val="center"/>
            </w:pPr>
            <w:r>
              <w:t xml:space="preserve">10</w:t>
            </w:r>
          </w:p>
        </w:tc>
        <w:tc>
          <w:tcPr/>
          <w:p>
            <w:pPr>
              <w:pStyle w:val="Compact"/>
              <w:jc w:val="center"/>
            </w:pPr>
            <w:r>
              <w:t xml:space="preserve">5</w:t>
            </w:r>
          </w:p>
        </w:tc>
        <w:tc>
          <w:tcPr/>
          <w:p>
            <w:pPr>
              <w:pStyle w:val="Compact"/>
              <w:jc w:val="center"/>
            </w:pPr>
            <w:r>
              <w:t xml:space="preserve">0.00</w:t>
            </w:r>
          </w:p>
        </w:tc>
      </w:tr>
      <w:tr>
        <w:tc>
          <w:tcPr/>
          <w:p>
            <w:pPr>
              <w:pStyle w:val="Compact"/>
              <w:jc w:val="center"/>
            </w:pPr>
            <w:r>
              <w:t xml:space="preserve">Hooli Inc</w:t>
            </w:r>
          </w:p>
        </w:tc>
        <w:tc>
          <w:tcPr/>
          <w:p>
            <w:pPr>
              <w:pStyle w:val="Compact"/>
              <w:jc w:val="center"/>
            </w:pPr>
            <w:r>
              <w:t xml:space="preserve">May 8, 2025</w:t>
            </w:r>
          </w:p>
        </w:tc>
        <w:tc>
          <w:tcPr/>
          <w:p>
            <w:pPr>
              <w:pStyle w:val="Compact"/>
              <w:jc w:val="center"/>
            </w:pPr>
            <w:r>
              <w:t xml:space="preserve">10</w:t>
            </w:r>
          </w:p>
        </w:tc>
        <w:tc>
          <w:tcPr/>
          <w:p>
            <w:pPr>
              <w:pStyle w:val="Compact"/>
              <w:jc w:val="center"/>
            </w:pPr>
            <w:r>
              <w:t xml:space="preserve">5</w:t>
            </w:r>
          </w:p>
        </w:tc>
        <w:tc>
          <w:tcPr/>
          <w:p>
            <w:pPr>
              <w:pStyle w:val="Compact"/>
              <w:jc w:val="center"/>
            </w:pPr>
            <w:r>
              <w:t xml:space="preserve">0.00</w:t>
            </w:r>
          </w:p>
        </w:tc>
      </w:tr>
      <w:tr>
        <w:tc>
          <w:tcPr/>
          <w:p>
            <w:pPr>
              <w:pStyle w:val="Compact"/>
              <w:jc w:val="center"/>
            </w:pPr>
            <w:r>
              <w:t xml:space="preserve">Wayne Enterprises</w:t>
            </w:r>
          </w:p>
        </w:tc>
        <w:tc>
          <w:tcPr/>
          <w:p>
            <w:pPr>
              <w:pStyle w:val="Compact"/>
              <w:jc w:val="center"/>
            </w:pPr>
            <w:r>
              <w:t xml:space="preserve">May 7, 2025</w:t>
            </w:r>
          </w:p>
        </w:tc>
        <w:tc>
          <w:tcPr/>
          <w:p>
            <w:pPr>
              <w:pStyle w:val="Compact"/>
              <w:jc w:val="center"/>
            </w:pPr>
            <w:r>
              <w:t xml:space="preserve">10</w:t>
            </w:r>
          </w:p>
        </w:tc>
        <w:tc>
          <w:tcPr/>
          <w:p>
            <w:pPr>
              <w:pStyle w:val="Compact"/>
              <w:jc w:val="center"/>
            </w:pPr>
            <w:r>
              <w:t xml:space="preserve">5</w:t>
            </w:r>
          </w:p>
        </w:tc>
        <w:tc>
          <w:tcPr/>
          <w:p>
            <w:pPr>
              <w:pStyle w:val="Compact"/>
              <w:jc w:val="center"/>
            </w:pPr>
            <w:r>
              <w:t xml:space="preserve">0.00</w:t>
            </w:r>
          </w:p>
        </w:tc>
      </w:tr>
      <w:tr>
        <w:tc>
          <w:tcPr/>
          <w:p>
            <w:pPr>
              <w:pStyle w:val="Compact"/>
              <w:jc w:val="center"/>
            </w:pPr>
            <w:r>
              <w:t xml:space="preserve">Umbrella Ltd</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Stark Industries</w:t>
            </w:r>
          </w:p>
        </w:tc>
        <w:tc>
          <w:tcPr/>
          <w:p>
            <w:pPr>
              <w:pStyle w:val="Compact"/>
              <w:jc w:val="center"/>
            </w:pPr>
            <w:r>
              <w:t xml:space="preserve">December 17, 2024</w:t>
            </w:r>
          </w:p>
        </w:tc>
        <w:tc>
          <w:tcPr/>
          <w:p>
            <w:pPr>
              <w:pStyle w:val="Compact"/>
              <w:jc w:val="center"/>
            </w:pPr>
            <w:r>
              <w:t xml:space="preserve">1</w:t>
            </w:r>
          </w:p>
        </w:tc>
        <w:tc>
          <w:tcPr/>
          <w:p>
            <w:pPr>
              <w:pStyle w:val="Compact"/>
              <w:jc w:val="center"/>
            </w:pPr>
            <w:r>
              <w:t xml:space="preserve">100</w:t>
            </w:r>
          </w:p>
        </w:tc>
        <w:tc>
          <w:tcPr/>
          <w:p>
            <w:pPr>
              <w:pStyle w:val="Compact"/>
              <w:jc w:val="center"/>
            </w:pPr>
            <w:r>
              <w:t xml:space="preserve">53,000.00</w:t>
            </w:r>
          </w:p>
        </w:tc>
      </w:tr>
      <w:tr>
        <w:tc>
          <w:tcPr/>
          <w:p>
            <w:pPr>
              <w:pStyle w:val="Compact"/>
              <w:jc w:val="center"/>
            </w:pPr>
            <w:r>
              <w:t xml:space="preserve">Maithili Rajesh Hegde^&amp;</w:t>
            </w:r>
          </w:p>
        </w:tc>
        <w:tc>
          <w:tcPr/>
          <w:p>
            <w:pPr>
              <w:pStyle w:val="Compact"/>
              <w:jc w:val="center"/>
            </w:pPr>
            <w:r>
              <w:t xml:space="preserve">February 21, 2025</w:t>
            </w:r>
          </w:p>
        </w:tc>
        <w:tc>
          <w:tcPr/>
          <w:p>
            <w:pPr>
              <w:pStyle w:val="Compact"/>
              <w:jc w:val="center"/>
            </w:pPr>
            <w:r>
              <w:t xml:space="preserve">80</w:t>
            </w:r>
          </w:p>
        </w:tc>
        <w:tc>
          <w:tcPr/>
          <w:p>
            <w:pPr>
              <w:pStyle w:val="Compact"/>
              <w:jc w:val="center"/>
            </w:pPr>
            <w:r>
              <w:t xml:space="preserve">5</w:t>
            </w:r>
          </w:p>
        </w:tc>
        <w:tc>
          <w:tcPr/>
          <w:p>
            <w:pPr>
              <w:pStyle w:val="Compact"/>
              <w:jc w:val="center"/>
            </w:pPr>
            <w:r>
              <w:t xml:space="preserve">N.A.</w:t>
            </w:r>
          </w:p>
        </w:tc>
      </w:tr>
      <w:tr>
        <w:tc>
          <w:tcPr/>
          <w:p>
            <w:pPr>
              <w:pStyle w:val="Compact"/>
              <w:jc w:val="center"/>
            </w:pPr>
            <w:r>
              <w:t xml:space="preserve">Umbrella Ltd</w:t>
            </w:r>
          </w:p>
        </w:tc>
        <w:tc>
          <w:tcPr/>
          <w:p>
            <w:pPr>
              <w:pStyle w:val="Compact"/>
              <w:jc w:val="center"/>
            </w:pPr>
            <w:r>
              <w:t xml:space="preserve">December 17, 2024</w:t>
            </w:r>
          </w:p>
        </w:tc>
        <w:tc>
          <w:tcPr/>
          <w:p>
            <w:pPr>
              <w:pStyle w:val="Compact"/>
              <w:jc w:val="center"/>
            </w:pPr>
            <w:r>
              <w:t xml:space="preserve">1</w:t>
            </w:r>
          </w:p>
        </w:tc>
        <w:tc>
          <w:tcPr/>
          <w:p>
            <w:pPr>
              <w:pStyle w:val="Compact"/>
              <w:jc w:val="center"/>
            </w:pPr>
            <w:r>
              <w:t xml:space="preserve">100</w:t>
            </w:r>
          </w:p>
        </w:tc>
        <w:tc>
          <w:tcPr/>
          <w:p>
            <w:pPr>
              <w:pStyle w:val="Compact"/>
              <w:jc w:val="center"/>
            </w:pPr>
            <w:r>
              <w:t xml:space="preserve">53,000.00</w:t>
            </w:r>
          </w:p>
        </w:tc>
      </w:tr>
      <w:tr>
        <w:tc>
          <w:tcPr/>
          <w:p>
            <w:pPr>
              <w:pStyle w:val="Compact"/>
              <w:jc w:val="center"/>
            </w:pPr>
            <w:r>
              <w:t xml:space="preserve">Katyayani Balasubramanian ^&amp;</w:t>
            </w:r>
          </w:p>
        </w:tc>
        <w:tc>
          <w:tcPr/>
          <w:p>
            <w:pPr>
              <w:pStyle w:val="Compact"/>
              <w:jc w:val="center"/>
            </w:pPr>
            <w:r>
              <w:t xml:space="preserve">February 21, 2025</w:t>
            </w:r>
          </w:p>
        </w:tc>
        <w:tc>
          <w:tcPr/>
          <w:p>
            <w:pPr>
              <w:pStyle w:val="Compact"/>
              <w:jc w:val="center"/>
            </w:pPr>
            <w:r>
              <w:t xml:space="preserve">80</w:t>
            </w:r>
          </w:p>
        </w:tc>
        <w:tc>
          <w:tcPr/>
          <w:p>
            <w:pPr>
              <w:pStyle w:val="Compact"/>
              <w:jc w:val="center"/>
            </w:pPr>
            <w:r>
              <w:t xml:space="preserve">5</w:t>
            </w:r>
          </w:p>
        </w:tc>
        <w:tc>
          <w:tcPr/>
          <w:p>
            <w:pPr>
              <w:pStyle w:val="Compact"/>
              <w:jc w:val="center"/>
            </w:pPr>
            <w:r>
              <w:t xml:space="preserve">N.A.</w:t>
            </w:r>
          </w:p>
        </w:tc>
      </w:tr>
    </w:tbl>
    <w:p>
      <w:pPr>
        <w:pStyle w:val="BodyText"/>
      </w:pPr>
      <w:r>
        <w:t xml:space="preserve"># As certified by Initech LLC, Chartered Accountants, our Wonka Ltd, by way of their certificate dated December 10, 2025.</w:t>
      </w:r>
    </w:p>
    <w:p>
      <w:pPr>
        <w:pStyle w:val="BodyText"/>
      </w:pPr>
      <w:r>
        <w:t xml:space="preserve">* Also, a Promoter Selling Shareholder.</w:t>
      </w:r>
    </w:p>
    <w:p>
      <w:pPr>
        <w:pStyle w:val="BodyText"/>
      </w:pPr>
      <w:r>
        <w:t xml:space="preserve">&amp; Shareholder entitled with right to nominate directors or any other rights</w:t>
      </w:r>
    </w:p>
    <w:p>
      <w:pPr>
        <w:pStyle w:val="BodyText"/>
      </w:pPr>
      <w:r>
        <w:t xml:space="preserve">^ Bonus shares issued in the ratio of 4:1.</w:t>
      </w:r>
    </w:p>
    <w:p>
      <w:pPr>
        <w:pStyle w:val="BodyText"/>
      </w:pPr>
      <w:r>
        <w:t xml:space="preserve">Sam Smith of Equity Shares of face value of ₹5 each in the form of Gifts</w:t>
      </w:r>
    </w:p>
    <w:tbl>
      <w:tblPr>
        <w:tblStyle w:val="Table"/>
        <w:tblW w:type="pct" w:w="5000"/>
        <w:tblLook w:firstRow="0" w:lastRow="0" w:firstColumn="0" w:lastColumn="0" w:noHBand="0" w:noVBand="0" w:val="0000"/>
        <w:jc w:val="start"/>
      </w:tblPr>
      <w:tblGrid>
        <w:gridCol w:w="1980"/>
        <w:gridCol w:w="1980"/>
        <w:gridCol w:w="1980"/>
        <w:gridCol w:w="1980"/>
      </w:tblGrid>
      <w:tr>
        <w:tc>
          <w:tcPr/>
          <w:p>
            <w:pPr>
              <w:pStyle w:val="Compact"/>
              <w:jc w:val="center"/>
            </w:pPr>
            <w:r>
              <w:t xml:space="preserve">Transferee</w:t>
            </w:r>
          </w:p>
        </w:tc>
        <w:tc>
          <w:tcPr/>
          <w:p>
            <w:pPr>
              <w:pStyle w:val="Compact"/>
              <w:jc w:val="center"/>
            </w:pPr>
            <w:r>
              <w:t xml:space="preserve">Transferor</w:t>
            </w:r>
          </w:p>
        </w:tc>
        <w:tc>
          <w:tcPr/>
          <w:p>
            <w:pPr>
              <w:pStyle w:val="Compact"/>
              <w:jc w:val="center"/>
            </w:pPr>
            <w:r>
              <w:t xml:space="preserve">Equity Shares of face value of ₹5 each</w:t>
            </w:r>
          </w:p>
        </w:tc>
        <w:tc>
          <w:tcPr/>
          <w:p>
            <w:pPr>
              <w:pStyle w:val="Compact"/>
              <w:jc w:val="center"/>
            </w:pPr>
            <w:r>
              <w:t xml:space="preserve">Date</w:t>
            </w:r>
          </w:p>
        </w:tc>
      </w:tr>
      <w:tr>
        <w:tc>
          <w:tcPr/>
          <w:p>
            <w:pPr>
              <w:pStyle w:val="Compact"/>
              <w:jc w:val="center"/>
            </w:pPr>
            <w:r>
              <w:t xml:space="preserve">Globex Inc</w:t>
            </w:r>
          </w:p>
        </w:tc>
        <w:tc>
          <w:tcPr/>
          <w:p>
            <w:pPr>
              <w:pStyle w:val="Compact"/>
              <w:jc w:val="center"/>
            </w:pPr>
            <w:r>
              <w:t xml:space="preserve">Mary Brown</w:t>
            </w:r>
          </w:p>
        </w:tc>
        <w:tc>
          <w:tcPr/>
          <w:p>
            <w:pPr>
              <w:pStyle w:val="Compact"/>
              <w:jc w:val="center"/>
            </w:pPr>
            <w:r>
              <w:t xml:space="preserve">10</w:t>
            </w:r>
          </w:p>
        </w:tc>
        <w:tc>
          <w:tcPr/>
          <w:p>
            <w:pPr>
              <w:pStyle w:val="Compact"/>
              <w:jc w:val="center"/>
            </w:pPr>
            <w:r>
              <w:t xml:space="preserve">May 7, 2025</w:t>
            </w:r>
          </w:p>
        </w:tc>
      </w:tr>
      <w:tr>
        <w:tc>
          <w:tcPr/>
          <w:p>
            <w:pPr>
              <w:pStyle w:val="Compact"/>
              <w:jc w:val="center"/>
            </w:pPr>
            <w:r>
              <w:t xml:space="preserve">Acme Corp</w:t>
            </w:r>
          </w:p>
        </w:tc>
        <w:tc>
          <w:tcPr/>
          <w:p>
            <w:pPr>
              <w:pStyle w:val="Compact"/>
              <w:jc w:val="center"/>
            </w:pPr>
            <w:r>
              <w:t xml:space="preserve">Mary Brown</w:t>
            </w:r>
          </w:p>
        </w:tc>
        <w:tc>
          <w:tcPr/>
          <w:p>
            <w:pPr>
              <w:pStyle w:val="Compact"/>
              <w:jc w:val="center"/>
            </w:pPr>
            <w:r>
              <w:t xml:space="preserve">10</w:t>
            </w:r>
          </w:p>
        </w:tc>
        <w:tc>
          <w:tcPr/>
          <w:p>
            <w:pPr>
              <w:pStyle w:val="Compact"/>
              <w:jc w:val="center"/>
            </w:pPr>
            <w:r>
              <w:t xml:space="preserve">May 7, 2025</w:t>
            </w:r>
          </w:p>
        </w:tc>
      </w:tr>
      <w:tr>
        <w:tc>
          <w:tcPr/>
          <w:p>
            <w:pPr>
              <w:pStyle w:val="Compact"/>
              <w:jc w:val="center"/>
            </w:pPr>
            <w:r>
              <w:t xml:space="preserve">Wonka Ltd</w:t>
            </w:r>
          </w:p>
        </w:tc>
        <w:tc>
          <w:tcPr/>
          <w:p>
            <w:pPr>
              <w:pStyle w:val="Compact"/>
              <w:jc w:val="center"/>
            </w:pPr>
            <w:r>
              <w:t xml:space="preserve">Mary Brown</w:t>
            </w:r>
          </w:p>
        </w:tc>
        <w:tc>
          <w:tcPr/>
          <w:p>
            <w:pPr>
              <w:pStyle w:val="Compact"/>
              <w:jc w:val="center"/>
            </w:pPr>
            <w:r>
              <w:t xml:space="preserve">10</w:t>
            </w:r>
          </w:p>
        </w:tc>
        <w:tc>
          <w:tcPr/>
          <w:p>
            <w:pPr>
              <w:pStyle w:val="Compact"/>
              <w:jc w:val="center"/>
            </w:pPr>
            <w:r>
              <w:t xml:space="preserve">May 7, 2025</w:t>
            </w:r>
          </w:p>
        </w:tc>
      </w:tr>
      <w:tr>
        <w:tc>
          <w:tcPr/>
          <w:p>
            <w:pPr>
              <w:pStyle w:val="Compact"/>
              <w:jc w:val="center"/>
            </w:pPr>
            <w:r>
              <w:t xml:space="preserve">Vandelay Industries</w:t>
            </w:r>
          </w:p>
        </w:tc>
        <w:tc>
          <w:tcPr/>
          <w:p>
            <w:pPr>
              <w:pStyle w:val="Compact"/>
              <w:jc w:val="center"/>
            </w:pPr>
            <w:r>
              <w:t xml:space="preserve">Mary Wilson</w:t>
            </w:r>
          </w:p>
        </w:tc>
        <w:tc>
          <w:tcPr/>
          <w:p>
            <w:pPr>
              <w:pStyle w:val="Compact"/>
              <w:jc w:val="center"/>
            </w:pPr>
            <w:r>
              <w:t xml:space="preserve">10</w:t>
            </w:r>
          </w:p>
        </w:tc>
        <w:tc>
          <w:tcPr/>
          <w:p>
            <w:pPr>
              <w:pStyle w:val="Compact"/>
              <w:jc w:val="center"/>
            </w:pPr>
            <w:r>
              <w:t xml:space="preserve">May 7, 2025</w:t>
            </w:r>
          </w:p>
        </w:tc>
      </w:tr>
      <w:tr>
        <w:tc>
          <w:tcPr/>
          <w:p>
            <w:pPr>
              <w:pStyle w:val="Compact"/>
              <w:jc w:val="center"/>
            </w:pPr>
            <w:r>
              <w:t xml:space="preserve">Soylent Corp</w:t>
            </w:r>
          </w:p>
        </w:tc>
        <w:tc>
          <w:tcPr/>
          <w:p>
            <w:pPr>
              <w:pStyle w:val="Compact"/>
              <w:jc w:val="center"/>
            </w:pPr>
            <w:r>
              <w:t xml:space="preserve">Mary Wilson</w:t>
            </w:r>
          </w:p>
        </w:tc>
        <w:tc>
          <w:tcPr/>
          <w:p>
            <w:pPr>
              <w:pStyle w:val="Compact"/>
              <w:jc w:val="center"/>
            </w:pPr>
            <w:r>
              <w:t xml:space="preserve">10</w:t>
            </w:r>
          </w:p>
        </w:tc>
        <w:tc>
          <w:tcPr/>
          <w:p>
            <w:pPr>
              <w:pStyle w:val="Compact"/>
              <w:jc w:val="center"/>
            </w:pPr>
            <w:r>
              <w:t xml:space="preserve">May 8, 2025</w:t>
            </w:r>
          </w:p>
        </w:tc>
      </w:tr>
      <w:tr>
        <w:tc>
          <w:tcPr/>
          <w:p>
            <w:pPr>
              <w:pStyle w:val="Compact"/>
              <w:jc w:val="center"/>
            </w:pPr>
            <w:r>
              <w:t xml:space="preserve">Hooli Inc</w:t>
            </w:r>
          </w:p>
        </w:tc>
        <w:tc>
          <w:tcPr/>
          <w:p>
            <w:pPr>
              <w:pStyle w:val="Compact"/>
              <w:jc w:val="center"/>
            </w:pPr>
            <w:r>
              <w:t xml:space="preserve">Mary Wilson</w:t>
            </w:r>
          </w:p>
        </w:tc>
        <w:tc>
          <w:tcPr/>
          <w:p>
            <w:pPr>
              <w:pStyle w:val="Compact"/>
              <w:jc w:val="center"/>
            </w:pPr>
            <w:r>
              <w:t xml:space="preserve">10</w:t>
            </w:r>
          </w:p>
        </w:tc>
        <w:tc>
          <w:tcPr/>
          <w:p>
            <w:pPr>
              <w:pStyle w:val="Compact"/>
              <w:jc w:val="center"/>
            </w:pPr>
            <w:r>
              <w:t xml:space="preserve">May 8, 2025</w:t>
            </w:r>
          </w:p>
        </w:tc>
      </w:tr>
    </w:tbl>
    <w:p>
      <w:pPr>
        <w:pStyle w:val="BodyText"/>
      </w:pPr>
      <w:r>
        <w:t xml:space="preserve">Details of pre-IPO placement</w:t>
      </w:r>
    </w:p>
    <w:p>
      <w:pPr>
        <w:pStyle w:val="BodyText"/>
      </w:pPr>
      <w:r>
        <w:t xml:space="preserve">Our Company has not undertaken any pre-IPO placement between the date of the Draft Red Herring Prospectus and the date of this Red Herring Prospectus.</w:t>
      </w:r>
    </w:p>
    <w:p>
      <w:pPr>
        <w:pStyle w:val="BodyText"/>
      </w:pPr>
      <w:r>
        <w:t xml:space="preserve">Issue of equity shares of our Company for consideration other than cash in the last one year</w:t>
      </w:r>
    </w:p>
    <w:p>
      <w:pPr>
        <w:pStyle w:val="BodyText"/>
      </w:pPr>
      <w:r>
        <w:t xml:space="preserve">Except as disclosed in</w:t>
      </w:r>
      <w:r>
        <w:t xml:space="preserve"> </w:t>
      </w:r>
      <w:r>
        <w:t xml:space="preserve">“</w:t>
      </w:r>
      <w:r>
        <w:t xml:space="preserve">Capital Structure – Notes to Capital Structure – Shares issued for consideration other than cash or by way of a bonus issue</w:t>
      </w:r>
      <w:r>
        <w:t xml:space="preserve">”</w:t>
      </w:r>
      <w:r>
        <w:t xml:space="preserve"> </w:t>
      </w:r>
      <w:r>
        <w:t xml:space="preserve">on page 90, our Company has not issued any equity shares for consideration other than cash in the one year preceding the date of this Red Herring Prospectus.</w:t>
      </w:r>
    </w:p>
    <w:p>
      <w:pPr>
        <w:pStyle w:val="BodyText"/>
      </w:pPr>
      <w:r>
        <w:t xml:space="preserve">Split or consolidation of equity shares in the last one year</w:t>
      </w:r>
    </w:p>
    <w:p>
      <w:pPr>
        <w:pStyle w:val="BodyText"/>
      </w:pPr>
      <w:r>
        <w:t xml:space="preserve">Pursuant to a resolution passed by our Board dated February 10, 2025 and a resolution passed by our Shareholders dated February 11, 2025, the face value of the equity shares was split from ₹100 per equity share to ₹5 per Equity Share. Accordingly, the authorised share capital of our Company, being 4,000,000 equity shares of ₹100 each was split into 80,000,000 Equity Shares of ₹5 each, and the issued, subscribed and paid-up equity share capital of our Company, being 568,182 equity shares of</w:t>
      </w:r>
    </w:p>
    <w:p>
      <w:pPr>
        <w:pStyle w:val="BodyText"/>
      </w:pPr>
      <w:r>
        <w:t xml:space="preserve">₹100 each was split into 1,13,63,640 Globex Inc of ₹5 each. For further details, please see</w:t>
      </w:r>
      <w:r>
        <w:t xml:space="preserve"> </w:t>
      </w:r>
      <w:r>
        <w:t xml:space="preserve">“</w:t>
      </w:r>
      <w:r>
        <w:t xml:space="preserve">Capital Structure – Equity Share capital history of our Company</w:t>
      </w:r>
      <w:r>
        <w:t xml:space="preserve">”</w:t>
      </w:r>
      <w:r>
        <w:t xml:space="preserve"> </w:t>
      </w:r>
      <w:r>
        <w:t xml:space="preserve">on page 85.</w:t>
      </w:r>
    </w:p>
    <w:p>
      <w:pPr>
        <w:pStyle w:val="BodyText"/>
      </w:pPr>
      <w:r>
        <w:t xml:space="preserve">Exemption from complying with any provisions of securities laws, if any, granted by the SEBI</w:t>
      </w:r>
    </w:p>
    <w:p>
      <w:pPr>
        <w:pStyle w:val="BodyText"/>
      </w:pPr>
      <w:r>
        <w:t xml:space="preserve">Our Company has not applied for or received any exemption by SEBI from complying with any provisions of securities laws including the SEBI ICDR Regulations, as on the date of this Red Herring Prospectus.</w:t>
      </w:r>
    </w:p>
    <w:p>
      <w:pPr>
        <w:pStyle w:val="BodyText"/>
      </w:pPr>
      <w:r>
        <w:t xml:space="preserve">SECTION II: RISK FACTORS</w:t>
      </w:r>
    </w:p>
    <w:p>
      <w:pPr>
        <w:pStyle w:val="BodyText"/>
      </w:pPr>
      <w:r>
        <w:t xml:space="preserve">An investment in equity shares involves a high degree of risk. Prospective investors should carefully consider all the information in this Red Herring Prospectus, including the risks and uncertainties described below, before making an investment in our Globex Inc. The risks described in this section are those that we consider to be the most significant to our business, results of operations and financial condition as of the date of this Red Herring Prospectus. The risks described below may not be exhaustive or the only ones relevant to us, the Equity Shares or the industry segments in which we currently operate. Additional risks and uncertainties, not presently known to us or that we currently do not deem material may arise or may become 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Globex Inc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Globex Inc.</w:t>
      </w:r>
    </w:p>
    <w:p>
      <w:pPr>
        <w:pStyle w:val="BodyText"/>
      </w:pPr>
      <w:r>
        <w:t xml:space="preserve">In order to obtain a complete understanding of our Company and our business, prospective investors should read this section in conjunction with</w:t>
      </w:r>
      <w:r>
        <w:t xml:space="preserve"> </w:t>
      </w:r>
      <w:r>
        <w:t xml:space="preserve">“</w:t>
      </w:r>
      <w:r>
        <w:t xml:space="preserve">Industry Overview</w:t>
      </w:r>
      <w:r>
        <w:t xml:space="preserve">”</w:t>
      </w:r>
      <w:r>
        <w:t xml:space="preserve">,</w:t>
      </w:r>
      <w:r>
        <w:t xml:space="preserve"> </w:t>
      </w:r>
      <w:r>
        <w:t xml:space="preserve">“</w:t>
      </w:r>
      <w:r>
        <w:t xml:space="preserve">Our Business</w:t>
      </w:r>
      <w:r>
        <w:t xml:space="preserve">”</w:t>
      </w:r>
      <w:r>
        <w:t xml:space="preserve">,</w:t>
      </w:r>
      <w:r>
        <w:t xml:space="preserve"> </w:t>
      </w:r>
      <w:r>
        <w:t xml:space="preserve">“</w:t>
      </w:r>
      <w:r>
        <w:t xml:space="preserve">Key Regulations and Policies in India</w:t>
      </w:r>
      <w:r>
        <w:t xml:space="preserve">”</w:t>
      </w:r>
      <w:r>
        <w:t xml:space="preserve">,</w:t>
      </w:r>
      <w:r>
        <w:t xml:space="preserve"> </w:t>
      </w:r>
      <w:r>
        <w:t xml:space="preserve">“</w:t>
      </w:r>
      <w:r>
        <w:t xml:space="preserve">Restated Financial Statements</w:t>
      </w:r>
      <w:r>
        <w:t xml:space="preserve">”</w:t>
      </w:r>
      <w:r>
        <w:t xml:space="preserve">,</w:t>
      </w:r>
      <w:r>
        <w:t xml:space="preserve"> </w:t>
      </w:r>
      <w:r>
        <w:t xml:space="preserve">“</w:t>
      </w:r>
      <w:r>
        <w:t xml:space="preserve">Management’s Discussion and Analysis of Financial Condition and Results of Operations</w:t>
      </w:r>
      <w:r>
        <w:t xml:space="preserve">”</w:t>
      </w:r>
      <w:r>
        <w:t xml:space="preserve"> </w:t>
      </w:r>
      <w:r>
        <w:t xml:space="preserve">and</w:t>
      </w:r>
      <w:r>
        <w:t xml:space="preserve"> </w:t>
      </w:r>
      <w:r>
        <w:t xml:space="preserve">“</w:t>
      </w:r>
      <w:r>
        <w:t xml:space="preserve">Outstanding Litigation and Material Developments</w:t>
      </w:r>
      <w:r>
        <w:t xml:space="preserve">”</w:t>
      </w:r>
      <w:r>
        <w:t xml:space="preserve"> </w:t>
      </w:r>
      <w:r>
        <w:t xml:space="preserve">on pages 137, 211, 238, 280, 356 and 388, respectively, as well as the other financial and statistical information contained in this Red Herring Prospectus.</w:t>
      </w:r>
    </w:p>
    <w:p>
      <w:pPr>
        <w:pStyle w:val="BodyText"/>
      </w:pPr>
      <w:r>
        <w:t xml:space="preserve">This Red Herring Prospectus also contains forward-looking statements that involve risks, assumptions, estimates, uncertainties and other factors, many of which are beyond our control. Our actual results could differ from those anticipated in these forward-looking statements as a result of certain factors, including the considerations described below and elsewhere in this Red Herring Prospectus. For more details, see</w:t>
      </w:r>
      <w:r>
        <w:t xml:space="preserve"> </w:t>
      </w:r>
      <w:r>
        <w:t xml:space="preserve">“</w:t>
      </w:r>
      <w:r>
        <w:t xml:space="preserve">Forward-Looking Statements</w:t>
      </w:r>
      <w:r>
        <w:t xml:space="preserve">”</w:t>
      </w:r>
      <w:r>
        <w:t xml:space="preserve"> </w:t>
      </w:r>
      <w:r>
        <w:t xml:space="preserve">on page 18.</w:t>
      </w:r>
    </w:p>
    <w:p>
      <w:pPr>
        <w:pStyle w:val="BodyText"/>
      </w:pPr>
      <w:r>
        <w:t xml:space="preserve">Unless otherwise stated, or unless the context otherwise requires, the financial information of our Company used in this section has been derived from our Wayne Enterprises included in this Red Herring Prospectus on page 280. Our financial year ends on March 31 of each year. Accordingly, references to</w:t>
      </w:r>
      <w:r>
        <w:t xml:space="preserve"> </w:t>
      </w:r>
      <w:r>
        <w:t xml:space="preserve">“</w:t>
      </w:r>
      <w:r>
        <w:t xml:space="preserve">Fiscal 2025</w:t>
      </w:r>
      <w:r>
        <w:t xml:space="preserve">”</w:t>
      </w:r>
      <w:r>
        <w:t xml:space="preserve">,</w:t>
      </w:r>
      <w:r>
        <w:t xml:space="preserve"> </w:t>
      </w:r>
      <w:r>
        <w:t xml:space="preserve">“</w:t>
      </w:r>
      <w:r>
        <w:t xml:space="preserve">Fiscal 2024</w:t>
      </w:r>
      <w:r>
        <w:t xml:space="preserve">”</w:t>
      </w:r>
      <w:r>
        <w:t xml:space="preserve"> </w:t>
      </w:r>
      <w:r>
        <w:t xml:space="preserve">and</w:t>
      </w:r>
      <w:r>
        <w:t xml:space="preserve"> </w:t>
      </w:r>
      <w:r>
        <w:t xml:space="preserve">“</w:t>
      </w:r>
      <w:r>
        <w:t xml:space="preserve">Fiscal 2023</w:t>
      </w:r>
      <w:r>
        <w:t xml:space="preserve">”</w:t>
      </w:r>
      <w:r>
        <w:t xml:space="preserve">,</w:t>
      </w:r>
      <w:r>
        <w:t xml:space="preserve"> </w:t>
      </w:r>
      <w:r>
        <w:t xml:space="preserve">“</w:t>
      </w:r>
      <w:r>
        <w:t xml:space="preserve">Fiscals 2025, 2024, and 2023</w:t>
      </w:r>
      <w:r>
        <w:t xml:space="preserve">”</w:t>
      </w:r>
      <w:r>
        <w:t xml:space="preserve"> </w:t>
      </w:r>
      <w:r>
        <w:t xml:space="preserve">or</w:t>
      </w:r>
      <w:r>
        <w:t xml:space="preserve"> </w:t>
      </w:r>
      <w:r>
        <w:t xml:space="preserve">“</w:t>
      </w:r>
      <w:r>
        <w:t xml:space="preserve">financial years ended March 31, 2025, March 31, 2024 and March 31, 2023</w:t>
      </w:r>
      <w:r>
        <w:t xml:space="preserve">”</w:t>
      </w:r>
      <w:r>
        <w:t xml:space="preserve"> </w:t>
      </w:r>
      <w:r>
        <w:t xml:space="preserve">are to the 12-month period ended March 31 of the relevant year.</w:t>
      </w:r>
    </w:p>
    <w:p>
      <w:pPr>
        <w:pStyle w:val="BodyText"/>
      </w:pPr>
      <w:r>
        <w:t xml:space="preserve">We have also included various financial and operational performance indicators in this Red Herring Prospectus, some of which have not been derived from the Restated Financial Statements. The manner of calculation and presentation of some of these financial and operational performance indicators, and the assumptions and estimates used in such calculations, may vary from those used by other companies in India and other jurisdictions.</w:t>
      </w:r>
    </w:p>
    <w:p>
      <w:pPr>
        <w:pStyle w:val="BodyText"/>
      </w:pPr>
      <w:r>
        <w:t xml:space="preserve">Unless stated otherwise, industry and market data used in this section has been obtained or derived from the report titled</w:t>
      </w:r>
      <w:r>
        <w:t xml:space="preserve"> </w:t>
      </w:r>
      <w:r>
        <w:t xml:space="preserve">“</w:t>
      </w:r>
      <w:r>
        <w:t xml:space="preserve">Industry Research Report on Magnet Winding Wires Market in India</w:t>
      </w:r>
      <w:r>
        <w:t xml:space="preserve">”</w:t>
      </w:r>
      <w:r>
        <w:t xml:space="preserve"> </w:t>
      </w:r>
      <w:r>
        <w:t xml:space="preserve">dated November 26, 2025 (</w:t>
      </w:r>
      <w:r>
        <w:t xml:space="preserve">“</w:t>
      </w:r>
      <w:r>
        <w:t xml:space="preserve">CARE Report</w:t>
      </w:r>
      <w:r>
        <w:t xml:space="preserve">”</w:t>
      </w:r>
      <w:r>
        <w:t xml:space="preserve">), prepared and issued by Care Analytics and Advisory Private Limited pursuant to an engagement letter dated December 2, 2024, and exclusively commissioned and paid for by us in connection with the Offer. The industry-related information included herein includes excerpts from the CARE Report and may have been re-ordered by us for the purposes of presentation. Unless otherwise indicated, all financial, operational, industry and other related information derived from the CARE Report and included herein with respect to any particular year refers to such information for the relevant calendar year. The CARE Report will be available on the website of our Company from the date of this Red Herring Prospectus until the Bid/Offer Closing Date. For more information, see</w:t>
      </w:r>
      <w:r>
        <w:t xml:space="preserve"> </w:t>
      </w:r>
      <w:r>
        <w:t xml:space="preserve">“</w:t>
      </w:r>
      <w:r>
        <w:t xml:space="preserve">Certain Conventions, Use of Globex Inc and Market Data and Currency of Presentation</w:t>
      </w:r>
      <w:r>
        <w:t xml:space="preserve">”</w:t>
      </w:r>
      <w:r>
        <w:t xml:space="preserve"> </w:t>
      </w:r>
      <w:r>
        <w:t xml:space="preserve">on page 15.</w:t>
      </w:r>
    </w:p>
    <w:p>
      <w:pPr>
        <w:pStyle w:val="BodyText"/>
      </w:pPr>
      <w:r>
        <w:t xml:space="preserve">INTERNAL RISKS</w:t>
      </w:r>
    </w:p>
    <w:p>
      <w:pPr>
        <w:pStyle w:val="BodyText"/>
      </w:pPr>
      <w:r>
        <w:t xml:space="preserve">We depend on certain customers for a significant portion of our revenue from operations. Our top 10 customers contributed to 53.97%, 52.54%, 57.10% and 58.99% of our revenue from operations for the three-month period ended June 30, 2025, and Fiscals 2025, 2024 and 2023, respectively. Any decrease in demand from such customers, the loss of such customers or our inability to diversify our customer base could have an adverse effect on our business, results of operations, financial condition and cash flows.</w:t>
      </w:r>
    </w:p>
    <w:p>
      <w:pPr>
        <w:pStyle w:val="BodyText"/>
      </w:pPr>
      <w:r>
        <w:t xml:space="preserve">We have derived a significant portion of our revenue from operations from our top 10 customers. The table below sets forth details of our revenue from operations generated from top 10 customers in each of the period/ Fiscals indicated:</w:t>
      </w:r>
    </w:p>
    <w:tbl>
      <w:tblPr>
        <w:tblStyle w:val="Table"/>
        <w:tblW w:type="pct" w:w="5000"/>
        <w:tblLook w:firstRow="0" w:lastRow="0" w:firstColumn="0" w:lastColumn="0" w:noHBand="0" w:noVBand="0" w:val="0000"/>
        <w:jc w:val="start"/>
      </w:tblPr>
      <w:tblGrid>
        <w:gridCol w:w="1584"/>
        <w:gridCol w:w="1584"/>
        <w:gridCol w:w="1584"/>
        <w:gridCol w:w="1584"/>
        <w:gridCol w:w="1584"/>
      </w:tblGrid>
      <w:tr>
        <w:tc>
          <w:tcPr/>
          <w:p>
            <w:pPr>
              <w:pStyle w:val="Compact"/>
              <w:jc w:val="center"/>
            </w:pPr>
            <w:r>
              <w:t xml:space="preserve">Particulars</w:t>
            </w:r>
          </w:p>
        </w:tc>
        <w:tc>
          <w:tcPr/>
          <w:p>
            <w:pPr>
              <w:pStyle w:val="Compact"/>
              <w:jc w:val="center"/>
            </w:pPr>
            <w:r>
              <w:t xml:space="preserve">Three-month period ended June 30, 2025</w:t>
            </w:r>
          </w:p>
        </w:tc>
        <w:tc>
          <w:tcPr/>
          <w:p>
            <w:pPr>
              <w:pStyle w:val="Compact"/>
              <w:jc w:val="center"/>
            </w:pPr>
            <w:r>
              <w:t xml:space="preserve">Fiscal 2025</w:t>
            </w:r>
          </w:p>
        </w:tc>
        <w:tc>
          <w:tcPr/>
          <w:p>
            <w:pPr>
              <w:pStyle w:val="Compact"/>
              <w:jc w:val="center"/>
            </w:pPr>
            <w:r>
              <w:t xml:space="preserve">Fiscal 2024</w:t>
            </w:r>
          </w:p>
        </w:tc>
        <w:tc>
          <w:tcPr/>
          <w:p>
            <w:pPr>
              <w:pStyle w:val="Compact"/>
              <w:jc w:val="center"/>
            </w:pPr>
            <w:r>
              <w:t xml:space="preserve">Fiscal 2023</w:t>
            </w:r>
          </w:p>
        </w:tc>
      </w:tr>
      <w:tr>
        <w:tc>
          <w:tcPr/>
          <w:p>
            <w:pPr>
              <w:pStyle w:val="Compact"/>
              <w:jc w:val="center"/>
            </w:pPr>
            <w:r>
              <w:t xml:space="preserve">Revenue from top 10 customers (₹ in million)</w:t>
            </w:r>
          </w:p>
        </w:tc>
        <w:tc>
          <w:tcPr/>
          <w:p>
            <w:pPr>
              <w:pStyle w:val="Compact"/>
              <w:jc w:val="center"/>
            </w:pPr>
            <w:r>
              <w:t xml:space="preserve">3,015.48</w:t>
            </w:r>
          </w:p>
        </w:tc>
        <w:tc>
          <w:tcPr/>
          <w:p>
            <w:pPr>
              <w:pStyle w:val="Compact"/>
              <w:jc w:val="center"/>
            </w:pPr>
            <w:r>
              <w:t xml:space="preserve">10,130.32</w:t>
            </w:r>
          </w:p>
        </w:tc>
        <w:tc>
          <w:tcPr/>
          <w:p>
            <w:pPr>
              <w:pStyle w:val="Compact"/>
              <w:jc w:val="center"/>
            </w:pPr>
            <w:r>
              <w:t xml:space="preserve">7,896.04</w:t>
            </w:r>
          </w:p>
        </w:tc>
        <w:tc>
          <w:tcPr/>
          <w:p>
            <w:pPr>
              <w:pStyle w:val="Compact"/>
              <w:jc w:val="center"/>
            </w:pPr>
            <w:r>
              <w:t xml:space="preserve">6,191.05</w:t>
            </w:r>
          </w:p>
        </w:tc>
      </w:tr>
    </w:tbl>
    <w:p/>
    <w:tbl>
      <w:tblPr>
        <w:tblStyle w:val="Table"/>
        <w:tblW w:type="pct" w:w="5000"/>
        <w:tblLook w:firstRow="0" w:lastRow="0" w:firstColumn="0" w:lastColumn="0" w:noHBand="0" w:noVBand="0" w:val="0000"/>
        <w:jc w:val="start"/>
      </w:tblPr>
      <w:tblGrid>
        <w:gridCol w:w="1584"/>
        <w:gridCol w:w="1584"/>
        <w:gridCol w:w="1584"/>
        <w:gridCol w:w="1584"/>
        <w:gridCol w:w="1584"/>
      </w:tblGrid>
      <w:tr>
        <w:tc>
          <w:tcPr/>
          <w:p>
            <w:pPr>
              <w:pStyle w:val="Compact"/>
              <w:jc w:val="center"/>
            </w:pPr>
            <w:r>
              <w:t xml:space="preserve">Particulars</w:t>
            </w:r>
          </w:p>
        </w:tc>
        <w:tc>
          <w:tcPr/>
          <w:p>
            <w:pPr>
              <w:pStyle w:val="Compact"/>
              <w:jc w:val="center"/>
            </w:pPr>
            <w:r>
              <w:t xml:space="preserve">Three-month period ended June 30, 2025</w:t>
            </w:r>
          </w:p>
        </w:tc>
        <w:tc>
          <w:tcPr/>
          <w:p>
            <w:pPr>
              <w:pStyle w:val="Compact"/>
              <w:jc w:val="center"/>
            </w:pPr>
            <w:r>
              <w:t xml:space="preserve">Fiscal 2025</w:t>
            </w:r>
          </w:p>
        </w:tc>
        <w:tc>
          <w:tcPr/>
          <w:p>
            <w:pPr>
              <w:pStyle w:val="Compact"/>
              <w:jc w:val="center"/>
            </w:pPr>
            <w:r>
              <w:t xml:space="preserve">Fiscal 2024</w:t>
            </w:r>
          </w:p>
        </w:tc>
        <w:tc>
          <w:tcPr/>
          <w:p>
            <w:pPr>
              <w:pStyle w:val="Compact"/>
              <w:jc w:val="center"/>
            </w:pPr>
            <w:r>
              <w:t xml:space="preserve">Fiscal 2023</w:t>
            </w:r>
          </w:p>
        </w:tc>
      </w:tr>
      <w:tr>
        <w:tc>
          <w:tcPr/>
          <w:p>
            <w:pPr>
              <w:pStyle w:val="Compact"/>
              <w:jc w:val="center"/>
            </w:pPr>
            <w:r>
              <w:t xml:space="preserve">Revenue from top 10 customers as a percentage of total revenue from operations (%)</w:t>
            </w:r>
          </w:p>
        </w:tc>
        <w:tc>
          <w:tcPr/>
          <w:p>
            <w:pPr>
              <w:pStyle w:val="Compact"/>
              <w:jc w:val="center"/>
            </w:pPr>
            <w:r>
              <w:t xml:space="preserve">53.97%</w:t>
            </w:r>
          </w:p>
        </w:tc>
        <w:tc>
          <w:tcPr/>
          <w:p>
            <w:pPr>
              <w:pStyle w:val="Compact"/>
              <w:jc w:val="center"/>
            </w:pPr>
            <w:r>
              <w:t xml:space="preserve">52.54%</w:t>
            </w:r>
          </w:p>
        </w:tc>
        <w:tc>
          <w:tcPr/>
          <w:p>
            <w:pPr>
              <w:pStyle w:val="Compact"/>
              <w:jc w:val="center"/>
            </w:pPr>
            <w:r>
              <w:t xml:space="preserve">57.10%</w:t>
            </w:r>
          </w:p>
        </w:tc>
        <w:tc>
          <w:tcPr/>
          <w:p>
            <w:pPr>
              <w:pStyle w:val="Compact"/>
              <w:jc w:val="center"/>
            </w:pPr>
            <w:r>
              <w:t xml:space="preserve">58.99%</w:t>
            </w:r>
          </w:p>
        </w:tc>
      </w:tr>
      <w:tr>
        <w:tc>
          <w:tcPr/>
          <w:p>
            <w:pPr>
              <w:pStyle w:val="Compact"/>
              <w:jc w:val="center"/>
            </w:pPr>
            <w:r>
              <w:t xml:space="preserve">Total revenue from operations</w:t>
            </w:r>
          </w:p>
        </w:tc>
        <w:tc>
          <w:tcPr/>
          <w:p>
            <w:pPr>
              <w:pStyle w:val="Compact"/>
              <w:jc w:val="center"/>
            </w:pPr>
            <w:r>
              <w:t xml:space="preserve">5,587.12</w:t>
            </w:r>
          </w:p>
        </w:tc>
        <w:tc>
          <w:tcPr/>
          <w:p>
            <w:pPr>
              <w:pStyle w:val="Compact"/>
              <w:jc w:val="center"/>
            </w:pPr>
            <w:r>
              <w:t xml:space="preserve">19,282.93</w:t>
            </w:r>
          </w:p>
        </w:tc>
        <w:tc>
          <w:tcPr/>
          <w:p>
            <w:pPr>
              <w:pStyle w:val="Compact"/>
              <w:jc w:val="center"/>
            </w:pPr>
            <w:r>
              <w:t xml:space="preserve">13,828.15</w:t>
            </w:r>
          </w:p>
        </w:tc>
        <w:tc>
          <w:tcPr/>
          <w:p>
            <w:pPr>
              <w:pStyle w:val="Compact"/>
              <w:jc w:val="center"/>
            </w:pPr>
            <w:r>
              <w:t xml:space="preserve">10,494.60</w:t>
            </w:r>
          </w:p>
        </w:tc>
      </w:tr>
    </w:tbl>
    <w:p>
      <w:pPr>
        <w:pStyle w:val="BodyText"/>
      </w:pPr>
      <w:r>
        <w:t xml:space="preserve">The table below sets forth the revenue derived from each of our top 10 customers, for the period/ Fiscals indicated:</w:t>
      </w:r>
    </w:p>
    <w:tbl>
      <w:tblPr>
        <w:tblStyle w:val="Table"/>
        <w:tblW w:type="pct" w:w="5000"/>
        <w:tblLook w:firstRow="0" w:lastRow="0" w:firstColumn="0" w:lastColumn="0" w:noHBand="0" w:noVBand="0" w:val="0000"/>
        <w:jc w:val="start"/>
      </w:tblPr>
      <w:tblGrid>
        <w:gridCol w:w="792"/>
        <w:gridCol w:w="792"/>
        <w:gridCol w:w="792"/>
        <w:gridCol w:w="792"/>
        <w:gridCol w:w="792"/>
        <w:gridCol w:w="792"/>
        <w:gridCol w:w="792"/>
        <w:gridCol w:w="792"/>
        <w:gridCol w:w="792"/>
        <w:gridCol w:w="792"/>
      </w:tblGrid>
      <w:tr>
        <w:tc>
          <w:tcPr/>
          <w:p>
            <w:pPr>
              <w:pStyle w:val="Compact"/>
              <w:jc w:val="center"/>
            </w:pPr>
            <w:r>
              <w:t xml:space="preserve">S. No.</w:t>
            </w:r>
          </w:p>
        </w:tc>
        <w:tc>
          <w:tcPr/>
          <w:p>
            <w:pPr>
              <w:pStyle w:val="Compact"/>
              <w:jc w:val="center"/>
            </w:pPr>
            <w:r>
              <w:t xml:space="preserve">Various customer s*</w:t>
            </w:r>
          </w:p>
        </w:tc>
        <w:tc>
          <w:tcPr/>
          <w:p>
            <w:pPr>
              <w:pStyle w:val="Compact"/>
              <w:jc w:val="center"/>
            </w:pPr>
            <w:r>
              <w:t xml:space="preserve">Three-month period ended June 30, 2025</w:t>
            </w:r>
          </w:p>
        </w:tc>
        <w:tc>
          <w:tcPr/>
          <w:p>
            <w:pPr>
              <w:pStyle w:val="Compact"/>
              <w:jc w:val="center"/>
            </w:pPr>
            <w:r>
              <w:t xml:space="preserve">Fiscal 2025</w:t>
            </w:r>
          </w:p>
        </w:tc>
        <w:tc>
          <w:tcPr/>
          <w:p>
            <w:pPr>
              <w:pStyle w:val="Compact"/>
              <w:jc w:val="center"/>
            </w:pPr>
            <w:r>
              <w:t xml:space="preserve">Fiscal 2024</w:t>
            </w:r>
          </w:p>
        </w:tc>
        <w:tc>
          <w:tcPr/>
          <w:p>
            <w:pPr>
              <w:pStyle w:val="Compact"/>
              <w:jc w:val="center"/>
            </w:pPr>
            <w:r>
              <w:t xml:space="preserve">Fiscal 2023</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Amount (₹ in million)</w:t>
            </w:r>
          </w:p>
        </w:tc>
        <w:tc>
          <w:tcPr/>
          <w:p>
            <w:pPr>
              <w:pStyle w:val="Compact"/>
              <w:jc w:val="center"/>
            </w:pPr>
            <w:r>
              <w:t xml:space="preserve">% of revenue fromoperatio ns</w:t>
            </w:r>
          </w:p>
        </w:tc>
        <w:tc>
          <w:tcPr/>
          <w:p>
            <w:pPr>
              <w:pStyle w:val="Compact"/>
              <w:jc w:val="center"/>
            </w:pPr>
            <w:r>
              <w:t xml:space="preserve">Amount (₹in million)</w:t>
            </w:r>
          </w:p>
        </w:tc>
        <w:tc>
          <w:tcPr/>
          <w:p>
            <w:pPr>
              <w:pStyle w:val="Compact"/>
              <w:jc w:val="center"/>
            </w:pPr>
            <w:r>
              <w:t xml:space="preserve">% of revenue from operations</w:t>
            </w:r>
          </w:p>
        </w:tc>
        <w:tc>
          <w:tcPr/>
          <w:p>
            <w:pPr>
              <w:pStyle w:val="Compact"/>
              <w:jc w:val="center"/>
            </w:pPr>
            <w:r>
              <w:t xml:space="preserve">Amount (₹ in million)</w:t>
            </w:r>
          </w:p>
        </w:tc>
        <w:tc>
          <w:tcPr/>
          <w:p>
            <w:pPr>
              <w:pStyle w:val="Compact"/>
              <w:jc w:val="center"/>
            </w:pPr>
            <w:r>
              <w:t xml:space="preserve">% of revenue from operations</w:t>
            </w:r>
          </w:p>
        </w:tc>
        <w:tc>
          <w:tcPr/>
          <w:p>
            <w:pPr>
              <w:pStyle w:val="Compact"/>
              <w:jc w:val="center"/>
            </w:pPr>
            <w:r>
              <w:t xml:space="preserve">Amount (₹ in million)</w:t>
            </w:r>
          </w:p>
        </w:tc>
        <w:tc>
          <w:tcPr/>
          <w:p>
            <w:pPr>
              <w:pStyle w:val="Compact"/>
              <w:jc w:val="center"/>
            </w:pPr>
            <w:r>
              <w:t xml:space="preserve">% of revenue from operations</w:t>
            </w:r>
          </w:p>
        </w:tc>
        <w:tc>
          <w:tcPr/>
          <w:p>
            <w:pPr>
              <w:pStyle w:val="Compact"/>
            </w:pPr>
          </w:p>
        </w:tc>
        <w:tc>
          <w:tcPr/>
          <w:p>
            <w:pPr>
              <w:pStyle w:val="Compact"/>
            </w:pPr>
          </w:p>
        </w:tc>
      </w:tr>
      <w:tr>
        <w:tc>
          <w:tcPr/>
          <w:p>
            <w:pPr>
              <w:pStyle w:val="Compact"/>
              <w:jc w:val="center"/>
            </w:pPr>
            <w:r>
              <w:t xml:space="preserve">1.</w:t>
            </w:r>
          </w:p>
        </w:tc>
        <w:tc>
          <w:tcPr/>
          <w:p>
            <w:pPr>
              <w:pStyle w:val="Compact"/>
              <w:jc w:val="center"/>
            </w:pPr>
            <w:r>
              <w:t xml:space="preserve">Customer</w:t>
            </w:r>
          </w:p>
        </w:tc>
        <w:tc>
          <w:tcPr/>
          <w:p>
            <w:pPr>
              <w:pStyle w:val="Compact"/>
              <w:jc w:val="center"/>
            </w:pPr>
            <w:r>
              <w:t xml:space="preserve">660.03</w:t>
            </w:r>
          </w:p>
        </w:tc>
        <w:tc>
          <w:tcPr/>
          <w:p>
            <w:pPr>
              <w:pStyle w:val="Compact"/>
              <w:jc w:val="center"/>
            </w:pPr>
            <w:r>
              <w:t xml:space="preserve">11.81%</w:t>
            </w:r>
          </w:p>
        </w:tc>
        <w:tc>
          <w:tcPr/>
          <w:p>
            <w:pPr>
              <w:pStyle w:val="Compact"/>
              <w:jc w:val="center"/>
            </w:pPr>
            <w:r>
              <w:t xml:space="preserve">1,963.92</w:t>
            </w:r>
          </w:p>
        </w:tc>
        <w:tc>
          <w:tcPr/>
          <w:p>
            <w:pPr>
              <w:pStyle w:val="Compact"/>
              <w:jc w:val="center"/>
            </w:pPr>
            <w:r>
              <w:t xml:space="preserve">10.18%</w:t>
            </w:r>
          </w:p>
        </w:tc>
        <w:tc>
          <w:tcPr/>
          <w:p>
            <w:pPr>
              <w:pStyle w:val="Compact"/>
              <w:jc w:val="center"/>
            </w:pPr>
            <w:r>
              <w:t xml:space="preserve">1,446.66</w:t>
            </w:r>
          </w:p>
        </w:tc>
        <w:tc>
          <w:tcPr/>
          <w:p>
            <w:pPr>
              <w:pStyle w:val="Compact"/>
              <w:jc w:val="center"/>
            </w:pPr>
            <w:r>
              <w:t xml:space="preserve">10.46%</w:t>
            </w:r>
          </w:p>
        </w:tc>
        <w:tc>
          <w:tcPr/>
          <w:p>
            <w:pPr>
              <w:pStyle w:val="Compact"/>
              <w:jc w:val="center"/>
            </w:pPr>
            <w:r>
              <w:t xml:space="preserve">1,303.86</w:t>
            </w:r>
          </w:p>
        </w:tc>
        <w:tc>
          <w:tcPr/>
          <w:p>
            <w:pPr>
              <w:pStyle w:val="Compact"/>
              <w:jc w:val="center"/>
            </w:pPr>
            <w:r>
              <w:t xml:space="preserve">12.42%</w:t>
            </w:r>
          </w:p>
        </w:tc>
      </w:tr>
      <w:tr>
        <w:tc>
          <w:tcPr/>
          <w:p>
            <w:pPr>
              <w:pStyle w:val="Compact"/>
              <w:jc w:val="center"/>
            </w:pPr>
            <w:r>
              <w:t xml:space="preserve">2.</w:t>
            </w:r>
          </w:p>
        </w:tc>
        <w:tc>
          <w:tcPr/>
          <w:p>
            <w:pPr>
              <w:pStyle w:val="Compact"/>
              <w:jc w:val="center"/>
            </w:pPr>
            <w:r>
              <w:t xml:space="preserve">Customer</w:t>
            </w:r>
          </w:p>
        </w:tc>
        <w:tc>
          <w:tcPr/>
          <w:p>
            <w:pPr>
              <w:pStyle w:val="Compact"/>
              <w:jc w:val="center"/>
            </w:pPr>
            <w:r>
              <w:t xml:space="preserve">609.48</w:t>
            </w:r>
          </w:p>
        </w:tc>
        <w:tc>
          <w:tcPr/>
          <w:p>
            <w:pPr>
              <w:pStyle w:val="Compact"/>
              <w:jc w:val="center"/>
            </w:pPr>
            <w:r>
              <w:t xml:space="preserve">10.91%</w:t>
            </w:r>
          </w:p>
        </w:tc>
        <w:tc>
          <w:tcPr/>
          <w:p>
            <w:pPr>
              <w:pStyle w:val="Compact"/>
              <w:jc w:val="center"/>
            </w:pPr>
            <w:r>
              <w:t xml:space="preserve">1,702.54</w:t>
            </w:r>
          </w:p>
        </w:tc>
        <w:tc>
          <w:tcPr/>
          <w:p>
            <w:pPr>
              <w:pStyle w:val="Compact"/>
              <w:jc w:val="center"/>
            </w:pPr>
            <w:r>
              <w:t xml:space="preserve">8.83%</w:t>
            </w:r>
          </w:p>
        </w:tc>
        <w:tc>
          <w:tcPr/>
          <w:p>
            <w:pPr>
              <w:pStyle w:val="Compact"/>
              <w:jc w:val="center"/>
            </w:pPr>
            <w:r>
              <w:t xml:space="preserve">1,396.23</w:t>
            </w:r>
          </w:p>
        </w:tc>
        <w:tc>
          <w:tcPr/>
          <w:p>
            <w:pPr>
              <w:pStyle w:val="Compact"/>
              <w:jc w:val="center"/>
            </w:pPr>
            <w:r>
              <w:t xml:space="preserve">10.10%</w:t>
            </w:r>
          </w:p>
        </w:tc>
        <w:tc>
          <w:tcPr/>
          <w:p>
            <w:pPr>
              <w:pStyle w:val="Compact"/>
              <w:jc w:val="center"/>
            </w:pPr>
            <w:r>
              <w:t xml:space="preserve">765.18</w:t>
            </w:r>
          </w:p>
        </w:tc>
        <w:tc>
          <w:tcPr/>
          <w:p>
            <w:pPr>
              <w:pStyle w:val="Compact"/>
              <w:jc w:val="center"/>
            </w:pPr>
            <w:r>
              <w:t xml:space="preserve">7.29%</w:t>
            </w:r>
          </w:p>
        </w:tc>
      </w:tr>
      <w:tr>
        <w:tc>
          <w:tcPr/>
          <w:p>
            <w:pPr>
              <w:pStyle w:val="Compact"/>
              <w:jc w:val="center"/>
            </w:pPr>
            <w:r>
              <w:t xml:space="preserve">3.</w:t>
            </w:r>
          </w:p>
        </w:tc>
        <w:tc>
          <w:tcPr/>
          <w:p>
            <w:pPr>
              <w:pStyle w:val="Compact"/>
              <w:jc w:val="center"/>
            </w:pPr>
            <w:r>
              <w:t xml:space="preserve">Customer</w:t>
            </w:r>
          </w:p>
        </w:tc>
        <w:tc>
          <w:tcPr/>
          <w:p>
            <w:pPr>
              <w:pStyle w:val="Compact"/>
              <w:jc w:val="center"/>
            </w:pPr>
            <w:r>
              <w:t xml:space="preserve">352.56</w:t>
            </w:r>
          </w:p>
        </w:tc>
        <w:tc>
          <w:tcPr/>
          <w:p>
            <w:pPr>
              <w:pStyle w:val="Compact"/>
              <w:jc w:val="center"/>
            </w:pPr>
            <w:r>
              <w:t xml:space="preserve">6.31%</w:t>
            </w:r>
          </w:p>
        </w:tc>
        <w:tc>
          <w:tcPr/>
          <w:p>
            <w:pPr>
              <w:pStyle w:val="Compact"/>
              <w:jc w:val="center"/>
            </w:pPr>
            <w:r>
              <w:t xml:space="preserve">934.53</w:t>
            </w:r>
          </w:p>
        </w:tc>
        <w:tc>
          <w:tcPr/>
          <w:p>
            <w:pPr>
              <w:pStyle w:val="Compact"/>
              <w:jc w:val="center"/>
            </w:pPr>
            <w:r>
              <w:t xml:space="preserve">4.85%</w:t>
            </w:r>
          </w:p>
        </w:tc>
        <w:tc>
          <w:tcPr/>
          <w:p>
            <w:pPr>
              <w:pStyle w:val="Compact"/>
              <w:jc w:val="center"/>
            </w:pPr>
            <w:r>
              <w:t xml:space="preserve">856.66</w:t>
            </w:r>
          </w:p>
        </w:tc>
        <w:tc>
          <w:tcPr/>
          <w:p>
            <w:pPr>
              <w:pStyle w:val="Compact"/>
              <w:jc w:val="center"/>
            </w:pPr>
            <w:r>
              <w:t xml:space="preserve">6.20%</w:t>
            </w:r>
          </w:p>
        </w:tc>
        <w:tc>
          <w:tcPr/>
          <w:p>
            <w:pPr>
              <w:pStyle w:val="Compact"/>
              <w:jc w:val="center"/>
            </w:pPr>
            <w:r>
              <w:t xml:space="preserve">672.20</w:t>
            </w:r>
          </w:p>
        </w:tc>
        <w:tc>
          <w:tcPr/>
          <w:p>
            <w:pPr>
              <w:pStyle w:val="Compact"/>
              <w:jc w:val="center"/>
            </w:pPr>
            <w:r>
              <w:t xml:space="preserve">6.41%</w:t>
            </w:r>
          </w:p>
        </w:tc>
      </w:tr>
      <w:tr>
        <w:tc>
          <w:tcPr/>
          <w:p>
            <w:pPr>
              <w:pStyle w:val="Compact"/>
              <w:jc w:val="center"/>
            </w:pPr>
            <w:r>
              <w:t xml:space="preserve">4.</w:t>
            </w:r>
          </w:p>
        </w:tc>
        <w:tc>
          <w:tcPr/>
          <w:p>
            <w:pPr>
              <w:pStyle w:val="Compact"/>
              <w:jc w:val="center"/>
            </w:pPr>
            <w:r>
              <w:t xml:space="preserve">Customer</w:t>
            </w:r>
          </w:p>
        </w:tc>
        <w:tc>
          <w:tcPr/>
          <w:p>
            <w:pPr>
              <w:pStyle w:val="Compact"/>
              <w:jc w:val="center"/>
            </w:pPr>
            <w:r>
              <w:t xml:space="preserve">241.41</w:t>
            </w:r>
          </w:p>
        </w:tc>
        <w:tc>
          <w:tcPr/>
          <w:p>
            <w:pPr>
              <w:pStyle w:val="Compact"/>
              <w:jc w:val="center"/>
            </w:pPr>
            <w:r>
              <w:t xml:space="preserve">4.32%</w:t>
            </w:r>
          </w:p>
        </w:tc>
        <w:tc>
          <w:tcPr/>
          <w:p>
            <w:pPr>
              <w:pStyle w:val="Compact"/>
              <w:jc w:val="center"/>
            </w:pPr>
            <w:r>
              <w:t xml:space="preserve">895.21</w:t>
            </w:r>
          </w:p>
        </w:tc>
        <w:tc>
          <w:tcPr/>
          <w:p>
            <w:pPr>
              <w:pStyle w:val="Compact"/>
              <w:jc w:val="center"/>
            </w:pPr>
            <w:r>
              <w:t xml:space="preserve">4.64%</w:t>
            </w:r>
          </w:p>
        </w:tc>
        <w:tc>
          <w:tcPr/>
          <w:p>
            <w:pPr>
              <w:pStyle w:val="Compact"/>
              <w:jc w:val="center"/>
            </w:pPr>
            <w:r>
              <w:t xml:space="preserve">774.13</w:t>
            </w:r>
          </w:p>
        </w:tc>
        <w:tc>
          <w:tcPr/>
          <w:p>
            <w:pPr>
              <w:pStyle w:val="Compact"/>
              <w:jc w:val="center"/>
            </w:pPr>
            <w:r>
              <w:t xml:space="preserve">5.60%</w:t>
            </w:r>
          </w:p>
        </w:tc>
        <w:tc>
          <w:tcPr/>
          <w:p>
            <w:pPr>
              <w:pStyle w:val="Compact"/>
              <w:jc w:val="center"/>
            </w:pPr>
            <w:r>
              <w:t xml:space="preserve">632.42</w:t>
            </w:r>
          </w:p>
        </w:tc>
        <w:tc>
          <w:tcPr/>
          <w:p>
            <w:pPr>
              <w:pStyle w:val="Compact"/>
              <w:jc w:val="center"/>
            </w:pPr>
            <w:r>
              <w:t xml:space="preserve">6.03%</w:t>
            </w:r>
          </w:p>
        </w:tc>
      </w:tr>
      <w:tr>
        <w:tc>
          <w:tcPr/>
          <w:p>
            <w:pPr>
              <w:pStyle w:val="Compact"/>
              <w:jc w:val="center"/>
            </w:pPr>
            <w:r>
              <w:t xml:space="preserve">5.</w:t>
            </w:r>
          </w:p>
        </w:tc>
        <w:tc>
          <w:tcPr/>
          <w:p>
            <w:pPr>
              <w:pStyle w:val="Compact"/>
              <w:jc w:val="center"/>
            </w:pPr>
            <w:r>
              <w:t xml:space="preserve">Customer</w:t>
            </w:r>
          </w:p>
        </w:tc>
        <w:tc>
          <w:tcPr/>
          <w:p>
            <w:pPr>
              <w:pStyle w:val="Compact"/>
              <w:jc w:val="center"/>
            </w:pPr>
            <w:r>
              <w:t xml:space="preserve">227.08</w:t>
            </w:r>
          </w:p>
        </w:tc>
        <w:tc>
          <w:tcPr/>
          <w:p>
            <w:pPr>
              <w:pStyle w:val="Compact"/>
              <w:jc w:val="center"/>
            </w:pPr>
            <w:r>
              <w:t xml:space="preserve">4.06%</w:t>
            </w:r>
          </w:p>
        </w:tc>
        <w:tc>
          <w:tcPr/>
          <w:p>
            <w:pPr>
              <w:pStyle w:val="Compact"/>
              <w:jc w:val="center"/>
            </w:pPr>
            <w:r>
              <w:t xml:space="preserve">873.79</w:t>
            </w:r>
          </w:p>
        </w:tc>
        <w:tc>
          <w:tcPr/>
          <w:p>
            <w:pPr>
              <w:pStyle w:val="Compact"/>
              <w:jc w:val="center"/>
            </w:pPr>
            <w:r>
              <w:t xml:space="preserve">4.53%</w:t>
            </w:r>
          </w:p>
        </w:tc>
        <w:tc>
          <w:tcPr/>
          <w:p>
            <w:pPr>
              <w:pStyle w:val="Compact"/>
              <w:jc w:val="center"/>
            </w:pPr>
            <w:r>
              <w:t xml:space="preserve">758.39</w:t>
            </w:r>
          </w:p>
        </w:tc>
        <w:tc>
          <w:tcPr/>
          <w:p>
            <w:pPr>
              <w:pStyle w:val="Compact"/>
              <w:jc w:val="center"/>
            </w:pPr>
            <w:r>
              <w:t xml:space="preserve">5.48%</w:t>
            </w:r>
          </w:p>
        </w:tc>
        <w:tc>
          <w:tcPr/>
          <w:p>
            <w:pPr>
              <w:pStyle w:val="Compact"/>
              <w:jc w:val="center"/>
            </w:pPr>
            <w:r>
              <w:t xml:space="preserve">606.45</w:t>
            </w:r>
          </w:p>
        </w:tc>
        <w:tc>
          <w:tcPr/>
          <w:p>
            <w:pPr>
              <w:pStyle w:val="Compact"/>
              <w:jc w:val="center"/>
            </w:pPr>
            <w:r>
              <w:t xml:space="preserve">5.78%</w:t>
            </w:r>
          </w:p>
        </w:tc>
      </w:tr>
      <w:tr>
        <w:tc>
          <w:tcPr/>
          <w:p>
            <w:pPr>
              <w:pStyle w:val="Compact"/>
              <w:jc w:val="center"/>
            </w:pPr>
            <w:r>
              <w:t xml:space="preserve">6.</w:t>
            </w:r>
          </w:p>
        </w:tc>
        <w:tc>
          <w:tcPr/>
          <w:p>
            <w:pPr>
              <w:pStyle w:val="Compact"/>
              <w:jc w:val="center"/>
            </w:pPr>
            <w:r>
              <w:t xml:space="preserve">Customer</w:t>
            </w:r>
          </w:p>
        </w:tc>
        <w:tc>
          <w:tcPr/>
          <w:p>
            <w:pPr>
              <w:pStyle w:val="Compact"/>
              <w:jc w:val="center"/>
            </w:pPr>
            <w:r>
              <w:t xml:space="preserve">220.83</w:t>
            </w:r>
          </w:p>
        </w:tc>
        <w:tc>
          <w:tcPr/>
          <w:p>
            <w:pPr>
              <w:pStyle w:val="Compact"/>
              <w:jc w:val="center"/>
            </w:pPr>
            <w:r>
              <w:t xml:space="preserve">3.95%</w:t>
            </w:r>
          </w:p>
        </w:tc>
        <w:tc>
          <w:tcPr/>
          <w:p>
            <w:pPr>
              <w:pStyle w:val="Compact"/>
              <w:jc w:val="center"/>
            </w:pPr>
            <w:r>
              <w:t xml:space="preserve">868.64</w:t>
            </w:r>
          </w:p>
        </w:tc>
        <w:tc>
          <w:tcPr/>
          <w:p>
            <w:pPr>
              <w:pStyle w:val="Compact"/>
              <w:jc w:val="center"/>
            </w:pPr>
            <w:r>
              <w:t xml:space="preserve">4.50%</w:t>
            </w:r>
          </w:p>
        </w:tc>
        <w:tc>
          <w:tcPr/>
          <w:p>
            <w:pPr>
              <w:pStyle w:val="Compact"/>
              <w:jc w:val="center"/>
            </w:pPr>
            <w:r>
              <w:t xml:space="preserve">632.78</w:t>
            </w:r>
          </w:p>
        </w:tc>
        <w:tc>
          <w:tcPr/>
          <w:p>
            <w:pPr>
              <w:pStyle w:val="Compact"/>
              <w:jc w:val="center"/>
            </w:pPr>
            <w:r>
              <w:t xml:space="preserve">4.58%</w:t>
            </w:r>
          </w:p>
        </w:tc>
        <w:tc>
          <w:tcPr/>
          <w:p>
            <w:pPr>
              <w:pStyle w:val="Compact"/>
              <w:jc w:val="center"/>
            </w:pPr>
            <w:r>
              <w:t xml:space="preserve">541.86</w:t>
            </w:r>
          </w:p>
        </w:tc>
        <w:tc>
          <w:tcPr/>
          <w:p>
            <w:pPr>
              <w:pStyle w:val="Compact"/>
              <w:jc w:val="center"/>
            </w:pPr>
            <w:r>
              <w:t xml:space="preserve">5.16%</w:t>
            </w:r>
          </w:p>
        </w:tc>
      </w:tr>
      <w:tr>
        <w:tc>
          <w:tcPr/>
          <w:p>
            <w:pPr>
              <w:pStyle w:val="Compact"/>
              <w:jc w:val="center"/>
            </w:pPr>
            <w:r>
              <w:t xml:space="preserve">7.</w:t>
            </w:r>
          </w:p>
        </w:tc>
        <w:tc>
          <w:tcPr/>
          <w:p>
            <w:pPr>
              <w:pStyle w:val="Compact"/>
              <w:jc w:val="center"/>
            </w:pPr>
            <w:r>
              <w:t xml:space="preserve">Customer</w:t>
            </w:r>
          </w:p>
        </w:tc>
        <w:tc>
          <w:tcPr/>
          <w:p>
            <w:pPr>
              <w:pStyle w:val="Compact"/>
              <w:jc w:val="center"/>
            </w:pPr>
            <w:r>
              <w:t xml:space="preserve">211.66</w:t>
            </w:r>
          </w:p>
        </w:tc>
        <w:tc>
          <w:tcPr/>
          <w:p>
            <w:pPr>
              <w:pStyle w:val="Compact"/>
              <w:jc w:val="center"/>
            </w:pPr>
            <w:r>
              <w:t xml:space="preserve">3.79%</w:t>
            </w:r>
          </w:p>
        </w:tc>
        <w:tc>
          <w:tcPr/>
          <w:p>
            <w:pPr>
              <w:pStyle w:val="Compact"/>
              <w:jc w:val="center"/>
            </w:pPr>
            <w:r>
              <w:t xml:space="preserve">809.87</w:t>
            </w:r>
          </w:p>
        </w:tc>
        <w:tc>
          <w:tcPr/>
          <w:p>
            <w:pPr>
              <w:pStyle w:val="Compact"/>
              <w:jc w:val="center"/>
            </w:pPr>
            <w:r>
              <w:t xml:space="preserve">4.20%</w:t>
            </w:r>
          </w:p>
        </w:tc>
        <w:tc>
          <w:tcPr/>
          <w:p>
            <w:pPr>
              <w:pStyle w:val="Compact"/>
              <w:jc w:val="center"/>
            </w:pPr>
            <w:r>
              <w:t xml:space="preserve">576.64</w:t>
            </w:r>
          </w:p>
        </w:tc>
        <w:tc>
          <w:tcPr/>
          <w:p>
            <w:pPr>
              <w:pStyle w:val="Compact"/>
              <w:jc w:val="center"/>
            </w:pPr>
            <w:r>
              <w:t xml:space="preserve">4.17%</w:t>
            </w:r>
          </w:p>
        </w:tc>
        <w:tc>
          <w:tcPr/>
          <w:p>
            <w:pPr>
              <w:pStyle w:val="Compact"/>
              <w:jc w:val="center"/>
            </w:pPr>
            <w:r>
              <w:t xml:space="preserve">518.98</w:t>
            </w:r>
          </w:p>
        </w:tc>
        <w:tc>
          <w:tcPr/>
          <w:p>
            <w:pPr>
              <w:pStyle w:val="Compact"/>
              <w:jc w:val="center"/>
            </w:pPr>
            <w:r>
              <w:t xml:space="preserve">4.95%</w:t>
            </w:r>
          </w:p>
        </w:tc>
      </w:tr>
      <w:tr>
        <w:tc>
          <w:tcPr/>
          <w:p>
            <w:pPr>
              <w:pStyle w:val="Compact"/>
              <w:jc w:val="center"/>
            </w:pPr>
            <w:r>
              <w:t xml:space="preserve">8.</w:t>
            </w:r>
          </w:p>
        </w:tc>
        <w:tc>
          <w:tcPr/>
          <w:p>
            <w:pPr>
              <w:pStyle w:val="Compact"/>
              <w:jc w:val="center"/>
            </w:pPr>
            <w:r>
              <w:t xml:space="preserve">Customer</w:t>
            </w:r>
          </w:p>
        </w:tc>
        <w:tc>
          <w:tcPr/>
          <w:p>
            <w:pPr>
              <w:pStyle w:val="Compact"/>
              <w:jc w:val="center"/>
            </w:pPr>
            <w:r>
              <w:t xml:space="preserve">172.37</w:t>
            </w:r>
          </w:p>
        </w:tc>
        <w:tc>
          <w:tcPr/>
          <w:p>
            <w:pPr>
              <w:pStyle w:val="Compact"/>
              <w:jc w:val="center"/>
            </w:pPr>
            <w:r>
              <w:t xml:space="preserve">3.09%</w:t>
            </w:r>
          </w:p>
        </w:tc>
        <w:tc>
          <w:tcPr/>
          <w:p>
            <w:pPr>
              <w:pStyle w:val="Compact"/>
              <w:jc w:val="center"/>
            </w:pPr>
            <w:r>
              <w:t xml:space="preserve">763.81</w:t>
            </w:r>
          </w:p>
        </w:tc>
        <w:tc>
          <w:tcPr/>
          <w:p>
            <w:pPr>
              <w:pStyle w:val="Compact"/>
              <w:jc w:val="center"/>
            </w:pPr>
            <w:r>
              <w:t xml:space="preserve">3.96%</w:t>
            </w:r>
          </w:p>
        </w:tc>
        <w:tc>
          <w:tcPr/>
          <w:p>
            <w:pPr>
              <w:pStyle w:val="Compact"/>
              <w:jc w:val="center"/>
            </w:pPr>
            <w:r>
              <w:t xml:space="preserve">517.62</w:t>
            </w:r>
          </w:p>
        </w:tc>
        <w:tc>
          <w:tcPr/>
          <w:p>
            <w:pPr>
              <w:pStyle w:val="Compact"/>
              <w:jc w:val="center"/>
            </w:pPr>
            <w:r>
              <w:t xml:space="preserve">3.74%</w:t>
            </w:r>
          </w:p>
        </w:tc>
        <w:tc>
          <w:tcPr/>
          <w:p>
            <w:pPr>
              <w:pStyle w:val="Compact"/>
              <w:jc w:val="center"/>
            </w:pPr>
            <w:r>
              <w:t xml:space="preserve">396.52</w:t>
            </w:r>
          </w:p>
        </w:tc>
        <w:tc>
          <w:tcPr/>
          <w:p>
            <w:pPr>
              <w:pStyle w:val="Compact"/>
              <w:jc w:val="center"/>
            </w:pPr>
            <w:r>
              <w:t xml:space="preserve">3.78%</w:t>
            </w:r>
          </w:p>
        </w:tc>
      </w:tr>
      <w:tr>
        <w:tc>
          <w:tcPr/>
          <w:p>
            <w:pPr>
              <w:pStyle w:val="Compact"/>
              <w:jc w:val="center"/>
            </w:pPr>
            <w:r>
              <w:t xml:space="preserve">9.</w:t>
            </w:r>
          </w:p>
        </w:tc>
        <w:tc>
          <w:tcPr/>
          <w:p>
            <w:pPr>
              <w:pStyle w:val="Compact"/>
              <w:jc w:val="center"/>
            </w:pPr>
            <w:r>
              <w:t xml:space="preserve">Customer</w:t>
            </w:r>
          </w:p>
        </w:tc>
        <w:tc>
          <w:tcPr/>
          <w:p>
            <w:pPr>
              <w:pStyle w:val="Compact"/>
              <w:jc w:val="center"/>
            </w:pPr>
            <w:r>
              <w:t xml:space="preserve">165.63</w:t>
            </w:r>
          </w:p>
        </w:tc>
        <w:tc>
          <w:tcPr/>
          <w:p>
            <w:pPr>
              <w:pStyle w:val="Compact"/>
              <w:jc w:val="center"/>
            </w:pPr>
            <w:r>
              <w:t xml:space="preserve">2.96%</w:t>
            </w:r>
          </w:p>
        </w:tc>
        <w:tc>
          <w:tcPr/>
          <w:p>
            <w:pPr>
              <w:pStyle w:val="Compact"/>
              <w:jc w:val="center"/>
            </w:pPr>
            <w:r>
              <w:t xml:space="preserve">704.69</w:t>
            </w:r>
          </w:p>
        </w:tc>
        <w:tc>
          <w:tcPr/>
          <w:p>
            <w:pPr>
              <w:pStyle w:val="Compact"/>
              <w:jc w:val="center"/>
            </w:pPr>
            <w:r>
              <w:t xml:space="preserve">3.65%</w:t>
            </w:r>
          </w:p>
        </w:tc>
        <w:tc>
          <w:tcPr/>
          <w:p>
            <w:pPr>
              <w:pStyle w:val="Compact"/>
              <w:jc w:val="center"/>
            </w:pPr>
            <w:r>
              <w:t xml:space="preserve">470.48</w:t>
            </w:r>
          </w:p>
        </w:tc>
        <w:tc>
          <w:tcPr/>
          <w:p>
            <w:pPr>
              <w:pStyle w:val="Compact"/>
              <w:jc w:val="center"/>
            </w:pPr>
            <w:r>
              <w:t xml:space="preserve">3.40%</w:t>
            </w:r>
          </w:p>
        </w:tc>
        <w:tc>
          <w:tcPr/>
          <w:p>
            <w:pPr>
              <w:pStyle w:val="Compact"/>
              <w:jc w:val="center"/>
            </w:pPr>
            <w:r>
              <w:t xml:space="preserve">384.27</w:t>
            </w:r>
          </w:p>
        </w:tc>
        <w:tc>
          <w:tcPr/>
          <w:p>
            <w:pPr>
              <w:pStyle w:val="Compact"/>
              <w:jc w:val="center"/>
            </w:pPr>
            <w:r>
              <w:t xml:space="preserve">3.66%</w:t>
            </w:r>
          </w:p>
        </w:tc>
      </w:tr>
      <w:tr>
        <w:tc>
          <w:tcPr/>
          <w:p>
            <w:pPr>
              <w:pStyle w:val="Compact"/>
              <w:jc w:val="center"/>
            </w:pPr>
            <w:r>
              <w:t xml:space="preserve">10.</w:t>
            </w:r>
          </w:p>
        </w:tc>
        <w:tc>
          <w:tcPr/>
          <w:p>
            <w:pPr>
              <w:pStyle w:val="Compact"/>
              <w:jc w:val="center"/>
            </w:pPr>
            <w:r>
              <w:t xml:space="preserve">Customer</w:t>
            </w:r>
          </w:p>
        </w:tc>
        <w:tc>
          <w:tcPr/>
          <w:p>
            <w:pPr>
              <w:pStyle w:val="Compact"/>
              <w:jc w:val="center"/>
            </w:pPr>
            <w:r>
              <w:t xml:space="preserve">154.43</w:t>
            </w:r>
          </w:p>
        </w:tc>
        <w:tc>
          <w:tcPr/>
          <w:p>
            <w:pPr>
              <w:pStyle w:val="Compact"/>
              <w:jc w:val="center"/>
            </w:pPr>
            <w:r>
              <w:t xml:space="preserve">2.76%</w:t>
            </w:r>
          </w:p>
        </w:tc>
        <w:tc>
          <w:tcPr/>
          <w:p>
            <w:pPr>
              <w:pStyle w:val="Compact"/>
              <w:jc w:val="center"/>
            </w:pPr>
            <w:r>
              <w:t xml:space="preserve">613.30</w:t>
            </w:r>
          </w:p>
        </w:tc>
        <w:tc>
          <w:tcPr/>
          <w:p>
            <w:pPr>
              <w:pStyle w:val="Compact"/>
              <w:jc w:val="center"/>
            </w:pPr>
            <w:r>
              <w:t xml:space="preserve">3.18%</w:t>
            </w:r>
          </w:p>
        </w:tc>
        <w:tc>
          <w:tcPr/>
          <w:p>
            <w:pPr>
              <w:pStyle w:val="Compact"/>
              <w:jc w:val="center"/>
            </w:pPr>
            <w:r>
              <w:t xml:space="preserve">466.46</w:t>
            </w:r>
          </w:p>
        </w:tc>
        <w:tc>
          <w:tcPr/>
          <w:p>
            <w:pPr>
              <w:pStyle w:val="Compact"/>
              <w:jc w:val="center"/>
            </w:pPr>
            <w:r>
              <w:t xml:space="preserve">3.37%</w:t>
            </w:r>
          </w:p>
        </w:tc>
        <w:tc>
          <w:tcPr/>
          <w:p>
            <w:pPr>
              <w:pStyle w:val="Compact"/>
              <w:jc w:val="center"/>
            </w:pPr>
            <w:r>
              <w:t xml:space="preserve">369.31</w:t>
            </w:r>
          </w:p>
        </w:tc>
        <w:tc>
          <w:tcPr/>
          <w:p>
            <w:pPr>
              <w:pStyle w:val="Compact"/>
              <w:jc w:val="center"/>
            </w:pPr>
            <w:r>
              <w:t xml:space="preserve">3.52%</w:t>
            </w:r>
          </w:p>
        </w:tc>
      </w:tr>
      <w:tr>
        <w:tc>
          <w:tcPr/>
          <w:p>
            <w:pPr>
              <w:pStyle w:val="Compact"/>
              <w:jc w:val="center"/>
            </w:pPr>
            <w:r>
              <w:t xml:space="preserve">Total</w:t>
            </w:r>
          </w:p>
        </w:tc>
        <w:tc>
          <w:tcPr/>
          <w:p>
            <w:pPr>
              <w:pStyle w:val="Compact"/>
              <w:jc w:val="center"/>
            </w:pPr>
            <w:r>
              <w:t xml:space="preserve">3,015.48</w:t>
            </w:r>
          </w:p>
        </w:tc>
        <w:tc>
          <w:tcPr/>
          <w:p>
            <w:pPr>
              <w:pStyle w:val="Compact"/>
              <w:jc w:val="center"/>
            </w:pPr>
            <w:r>
              <w:t xml:space="preserve">53.97%</w:t>
            </w:r>
          </w:p>
        </w:tc>
        <w:tc>
          <w:tcPr/>
          <w:p>
            <w:pPr>
              <w:pStyle w:val="Compact"/>
              <w:jc w:val="center"/>
            </w:pPr>
            <w:r>
              <w:t xml:space="preserve">10,130.32</w:t>
            </w:r>
          </w:p>
        </w:tc>
        <w:tc>
          <w:tcPr/>
          <w:p>
            <w:pPr>
              <w:pStyle w:val="Compact"/>
              <w:jc w:val="center"/>
            </w:pPr>
            <w:r>
              <w:t xml:space="preserve">52.54%</w:t>
            </w:r>
          </w:p>
        </w:tc>
        <w:tc>
          <w:tcPr/>
          <w:p>
            <w:pPr>
              <w:pStyle w:val="Compact"/>
              <w:jc w:val="center"/>
            </w:pPr>
            <w:r>
              <w:t xml:space="preserve">7,896.04</w:t>
            </w:r>
          </w:p>
        </w:tc>
        <w:tc>
          <w:tcPr/>
          <w:p>
            <w:pPr>
              <w:pStyle w:val="Compact"/>
              <w:jc w:val="center"/>
            </w:pPr>
            <w:r>
              <w:t xml:space="preserve">57.10%</w:t>
            </w:r>
          </w:p>
        </w:tc>
        <w:tc>
          <w:tcPr/>
          <w:p>
            <w:pPr>
              <w:pStyle w:val="Compact"/>
              <w:jc w:val="center"/>
            </w:pPr>
            <w:r>
              <w:t xml:space="preserve">6,191.05</w:t>
            </w:r>
          </w:p>
        </w:tc>
        <w:tc>
          <w:tcPr/>
          <w:p>
            <w:pPr>
              <w:pStyle w:val="Compact"/>
              <w:jc w:val="center"/>
            </w:pPr>
            <w:r>
              <w:t xml:space="preserve">58.99%</w:t>
            </w:r>
          </w:p>
        </w:tc>
        <w:tc>
          <w:tcPr/>
          <w:p>
            <w:pPr>
              <w:pStyle w:val="Compact"/>
            </w:pPr>
          </w:p>
        </w:tc>
      </w:tr>
    </w:tbl>
    <w:p>
      <w:pPr>
        <w:pStyle w:val="BodyText"/>
      </w:pPr>
      <w:r>
        <w:t xml:space="preserve">* These customers represent the top 10 customers for each of the respective periods/ Fiscals and may not necessarily be the same customers across the periods/ Fiscals.</w:t>
      </w:r>
    </w:p>
    <w:p>
      <w:pPr>
        <w:pStyle w:val="BodyText"/>
      </w:pPr>
      <w:r>
        <w:t xml:space="preserve">Note: Our top 10 customers include Stark Industries, Bharat Sam Parker; Umbrella Ltd and Industrial Solutions Limited; Initech LLC; Globex Inc; Nidec Industrial Automation India Private Limited; Transformers &amp; Rectifiers (India) Limited; and Acme Corp. Names of other customers who form part of our top 10 customers during the periods/ Fiscals included above, have not been included in this Red Herring Prospectus due to non-receipt of consent from such customers to be named in the Offer Documents.</w:t>
      </w:r>
    </w:p>
    <w:p>
      <w:pPr>
        <w:pStyle w:val="BodyText"/>
      </w:pPr>
      <w:r>
        <w:t xml:space="preserve">We had 122, 117 and 117 customers during the financial years ended March 31, 2025, March 31, 2024, and March 31, 2023, respectively. Further, during the three-month period ended June 30, 2025, we invoiced 93 customers. Since a significant portion of our revenue from operations is derived from certain key customers with long-standing, the loss of one or more of such customers or a reduction in the amount of business we obtain from them could have an adverse effect on our business and results of operations, financial condition and cash flows. Of our top 10 customers based on revenue contribution for the financial year ended March 31, 2025, 5 of our customers have been customers for 10 years intermittently, 2 of our customers have been customers for 5 years, and the other 3 have been our customers for 2 years.</w:t>
      </w:r>
    </w:p>
    <w:p>
      <w:pPr>
        <w:pStyle w:val="BodyText"/>
      </w:pPr>
      <w:r>
        <w:t xml:space="preserve">Except as disclosed in the section titled</w:t>
      </w:r>
      <w:r>
        <w:t xml:space="preserve"> </w:t>
      </w:r>
      <w:r>
        <w:t xml:space="preserve">“</w:t>
      </w:r>
      <w:r>
        <w:t xml:space="preserve">Outstanding Litigation and Material Developments – A. Litigation Involving our Company – Criminal proceedings by our Company</w:t>
      </w:r>
      <w:r>
        <w:t xml:space="preserve">”</w:t>
      </w:r>
      <w:r>
        <w:t xml:space="preserve"> </w:t>
      </w:r>
      <w:r>
        <w:t xml:space="preserve">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 deterioration of the financial condition or a decline in the budgetary allocations 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Text"/>
      </w:pPr>
      <w:r>
        <w:t xml:space="preserve">The volume and timing of sales to such customers may also vary due to a change in their requirements, geo-political issues and management of inventory levels. Furthermore, we do not have firm commitments in the form of continuing or long-term supply agreements with some of our customers and instead rely on orders for manufacture of specific products on a purchase order basis, which governs the volume and other terms of the sale of our products. We need to maintain sufficient inventory levels of raw material to meet customer expectations at all times. Accumulating excess inventory could increase our inventory costs, and a failure to have adequate inventory in stock to fulfil customer orders could result in inability to meet customer demand or loss of customers. As actual orders by our customers are typically placed by way of</w:t>
      </w:r>
      <w:r>
        <w:t xml:space="preserve"> </w:t>
      </w:r>
      <w:r>
        <w:t xml:space="preserve">‘</w:t>
      </w:r>
      <w:r>
        <w:t xml:space="preserve">make to order</w:t>
      </w:r>
      <w:r>
        <w:t xml:space="preserve">’</w:t>
      </w:r>
      <w:r>
        <w:t xml:space="preserve">/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 for our products as well as our inability to accurately schedule our raw material purchases and production and manage our inventory may adversely affect our business and cash flows from operations. We cannot assure you that</w:t>
      </w:r>
    </w:p>
    <w:p>
      <w:pPr>
        <w:pStyle w:val="BodyText"/>
      </w:pPr>
      <w:r>
        <w:t xml:space="preserve">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BodyText"/>
      </w:pPr>
      <w:r>
        <w:t xml:space="preserve">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 volatility in their prices could have an adverse impact on our business, financial condition, cash flows and results of operations.</w:t>
      </w:r>
    </w:p>
    <w:tbl>
      <w:tblPr>
        <w:tblStyle w:val="Table"/>
        <w:tblW w:type="pct" w:w="5000"/>
        <w:tblLook w:firstRow="0" w:lastRow="0" w:firstColumn="0" w:lastColumn="0" w:noHBand="0" w:noVBand="0" w:val="0000"/>
        <w:jc w:val="start"/>
      </w:tblPr>
      <w:tblGrid>
        <w:gridCol w:w="792"/>
        <w:gridCol w:w="792"/>
        <w:gridCol w:w="792"/>
        <w:gridCol w:w="792"/>
        <w:gridCol w:w="792"/>
        <w:gridCol w:w="792"/>
        <w:gridCol w:w="792"/>
        <w:gridCol w:w="792"/>
        <w:gridCol w:w="792"/>
        <w:gridCol w:w="792"/>
      </w:tblGrid>
      <w:tr>
        <w:tc>
          <w:tcPr/>
          <w:p>
            <w:pPr>
              <w:pStyle w:val="Compact"/>
              <w:jc w:val="center"/>
            </w:pPr>
            <w:r>
              <w:t xml:space="preserve">S.No.</w:t>
            </w:r>
          </w:p>
        </w:tc>
        <w:tc>
          <w:tcPr/>
          <w:p>
            <w:pPr>
              <w:pStyle w:val="Compact"/>
              <w:jc w:val="center"/>
            </w:pPr>
            <w:r>
              <w:t xml:space="preserve">Various suppliers*</w:t>
            </w:r>
          </w:p>
        </w:tc>
        <w:tc>
          <w:tcPr/>
          <w:p>
            <w:pPr>
              <w:pStyle w:val="Compact"/>
              <w:jc w:val="center"/>
            </w:pPr>
            <w:r>
              <w:t xml:space="preserve">Three-month period ended June 30, 2025</w:t>
            </w:r>
          </w:p>
        </w:tc>
        <w:tc>
          <w:tcPr/>
          <w:p>
            <w:pPr>
              <w:pStyle w:val="Compact"/>
              <w:jc w:val="center"/>
            </w:pPr>
            <w:r>
              <w:t xml:space="preserve">Fiscal 2025</w:t>
            </w:r>
          </w:p>
        </w:tc>
        <w:tc>
          <w:tcPr/>
          <w:p>
            <w:pPr>
              <w:pStyle w:val="Compact"/>
              <w:jc w:val="center"/>
            </w:pPr>
            <w:r>
              <w:t xml:space="preserve">Fiscal 2024</w:t>
            </w:r>
          </w:p>
        </w:tc>
        <w:tc>
          <w:tcPr/>
          <w:p>
            <w:pPr>
              <w:pStyle w:val="Compact"/>
              <w:jc w:val="center"/>
            </w:pPr>
            <w:r>
              <w:t xml:space="preserve">Fiscal 2023</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Amount (₹ in million)</w:t>
            </w:r>
          </w:p>
        </w:tc>
        <w:tc>
          <w:tcPr/>
          <w:p>
            <w:pPr>
              <w:pStyle w:val="Compact"/>
              <w:jc w:val="center"/>
            </w:pPr>
            <w:r>
              <w:t xml:space="preserve">% of total cost of raw materials and componentspurchased</w:t>
            </w:r>
          </w:p>
        </w:tc>
        <w:tc>
          <w:tcPr/>
          <w:p>
            <w:pPr>
              <w:pStyle w:val="Compact"/>
              <w:jc w:val="center"/>
            </w:pPr>
            <w:r>
              <w:t xml:space="preserve">Amount (₹ in million)</w:t>
            </w:r>
          </w:p>
        </w:tc>
        <w:tc>
          <w:tcPr/>
          <w:p>
            <w:pPr>
              <w:pStyle w:val="Compact"/>
              <w:jc w:val="center"/>
            </w:pPr>
            <w:r>
              <w:t xml:space="preserve">% of total cost of raw materials and components purchased</w:t>
            </w:r>
          </w:p>
        </w:tc>
        <w:tc>
          <w:tcPr/>
          <w:p>
            <w:pPr>
              <w:pStyle w:val="Compact"/>
              <w:jc w:val="center"/>
            </w:pPr>
            <w:r>
              <w:t xml:space="preserve">Amount (₹ in million)</w:t>
            </w:r>
          </w:p>
        </w:tc>
        <w:tc>
          <w:tcPr/>
          <w:p>
            <w:pPr>
              <w:pStyle w:val="Compact"/>
              <w:jc w:val="center"/>
            </w:pPr>
            <w:r>
              <w:t xml:space="preserve">% of total cost of raw materials and components purchased</w:t>
            </w:r>
          </w:p>
        </w:tc>
        <w:tc>
          <w:tcPr/>
          <w:p>
            <w:pPr>
              <w:pStyle w:val="Compact"/>
              <w:jc w:val="center"/>
            </w:pPr>
            <w:r>
              <w:t xml:space="preserve">Amount (₹ in million)</w:t>
            </w:r>
          </w:p>
        </w:tc>
        <w:tc>
          <w:tcPr/>
          <w:p>
            <w:pPr>
              <w:pStyle w:val="Compact"/>
              <w:jc w:val="center"/>
            </w:pPr>
            <w:r>
              <w:t xml:space="preserve">% of total cost of raw materials and components purchased</w:t>
            </w:r>
          </w:p>
        </w:tc>
        <w:tc>
          <w:tcPr/>
          <w:p>
            <w:pPr>
              <w:pStyle w:val="Compact"/>
            </w:pPr>
          </w:p>
        </w:tc>
        <w:tc>
          <w:tcPr/>
          <w:p>
            <w:pPr>
              <w:pStyle w:val="Compact"/>
            </w:pPr>
          </w:p>
        </w:tc>
      </w:tr>
      <w:tr>
        <w:tc>
          <w:tcPr/>
          <w:p>
            <w:pPr>
              <w:pStyle w:val="Compact"/>
              <w:jc w:val="center"/>
            </w:pPr>
            <w:r>
              <w:t xml:space="preserve">1.</w:t>
            </w:r>
          </w:p>
        </w:tc>
        <w:tc>
          <w:tcPr/>
          <w:p>
            <w:pPr>
              <w:pStyle w:val="Compact"/>
              <w:jc w:val="center"/>
            </w:pPr>
            <w:r>
              <w:t xml:space="preserve">Supplier</w:t>
            </w:r>
          </w:p>
        </w:tc>
        <w:tc>
          <w:tcPr/>
          <w:p>
            <w:pPr>
              <w:pStyle w:val="Compact"/>
              <w:jc w:val="center"/>
            </w:pPr>
            <w:r>
              <w:t xml:space="preserve">2,119.68</w:t>
            </w:r>
          </w:p>
        </w:tc>
        <w:tc>
          <w:tcPr/>
          <w:p>
            <w:pPr>
              <w:pStyle w:val="Compact"/>
              <w:jc w:val="center"/>
            </w:pPr>
            <w:r>
              <w:t xml:space="preserve">41.41%</w:t>
            </w:r>
          </w:p>
        </w:tc>
        <w:tc>
          <w:tcPr/>
          <w:p>
            <w:pPr>
              <w:pStyle w:val="Compact"/>
              <w:jc w:val="center"/>
            </w:pPr>
            <w:r>
              <w:t xml:space="preserve">8615.79</w:t>
            </w:r>
          </w:p>
        </w:tc>
        <w:tc>
          <w:tcPr/>
          <w:p>
            <w:pPr>
              <w:pStyle w:val="Compact"/>
              <w:jc w:val="center"/>
            </w:pPr>
            <w:r>
              <w:t xml:space="preserve">48.07%</w:t>
            </w:r>
          </w:p>
        </w:tc>
        <w:tc>
          <w:tcPr/>
          <w:p>
            <w:pPr>
              <w:pStyle w:val="Compact"/>
              <w:jc w:val="center"/>
            </w:pPr>
            <w:r>
              <w:t xml:space="preserve">8518.72</w:t>
            </w:r>
          </w:p>
        </w:tc>
        <w:tc>
          <w:tcPr/>
          <w:p>
            <w:pPr>
              <w:pStyle w:val="Compact"/>
              <w:jc w:val="center"/>
            </w:pPr>
            <w:r>
              <w:t xml:space="preserve">67.86%</w:t>
            </w:r>
          </w:p>
        </w:tc>
        <w:tc>
          <w:tcPr/>
          <w:p>
            <w:pPr>
              <w:pStyle w:val="Compact"/>
              <w:jc w:val="center"/>
            </w:pPr>
            <w:r>
              <w:t xml:space="preserve">5845.18</w:t>
            </w:r>
          </w:p>
        </w:tc>
        <w:tc>
          <w:tcPr/>
          <w:p>
            <w:pPr>
              <w:pStyle w:val="Compact"/>
              <w:jc w:val="center"/>
            </w:pPr>
            <w:r>
              <w:t xml:space="preserve">61.86%</w:t>
            </w:r>
          </w:p>
        </w:tc>
      </w:tr>
      <w:tr>
        <w:tc>
          <w:tcPr/>
          <w:p>
            <w:pPr>
              <w:pStyle w:val="Compact"/>
              <w:jc w:val="center"/>
            </w:pPr>
            <w:r>
              <w:t xml:space="preserve">2.</w:t>
            </w:r>
          </w:p>
        </w:tc>
        <w:tc>
          <w:tcPr/>
          <w:p>
            <w:pPr>
              <w:pStyle w:val="Compact"/>
              <w:jc w:val="center"/>
            </w:pPr>
            <w:r>
              <w:t xml:space="preserve">Supplier</w:t>
            </w:r>
          </w:p>
        </w:tc>
        <w:tc>
          <w:tcPr/>
          <w:p>
            <w:pPr>
              <w:pStyle w:val="Compact"/>
              <w:jc w:val="center"/>
            </w:pPr>
            <w:r>
              <w:t xml:space="preserve">2,107.31</w:t>
            </w:r>
          </w:p>
        </w:tc>
        <w:tc>
          <w:tcPr/>
          <w:p>
            <w:pPr>
              <w:pStyle w:val="Compact"/>
              <w:jc w:val="center"/>
            </w:pPr>
            <w:r>
              <w:t xml:space="preserve">41.17%</w:t>
            </w:r>
          </w:p>
        </w:tc>
        <w:tc>
          <w:tcPr/>
          <w:p>
            <w:pPr>
              <w:pStyle w:val="Compact"/>
              <w:jc w:val="center"/>
            </w:pPr>
            <w:r>
              <w:t xml:space="preserve">6386.19</w:t>
            </w:r>
          </w:p>
        </w:tc>
        <w:tc>
          <w:tcPr/>
          <w:p>
            <w:pPr>
              <w:pStyle w:val="Compact"/>
              <w:jc w:val="center"/>
            </w:pPr>
            <w:r>
              <w:t xml:space="preserve">35.63%</w:t>
            </w:r>
          </w:p>
        </w:tc>
        <w:tc>
          <w:tcPr/>
          <w:p>
            <w:pPr>
              <w:pStyle w:val="Compact"/>
              <w:jc w:val="center"/>
            </w:pPr>
            <w:r>
              <w:t xml:space="preserve">2415.14</w:t>
            </w:r>
          </w:p>
        </w:tc>
        <w:tc>
          <w:tcPr/>
          <w:p>
            <w:pPr>
              <w:pStyle w:val="Compact"/>
              <w:jc w:val="center"/>
            </w:pPr>
            <w:r>
              <w:t xml:space="preserve">19.24%</w:t>
            </w:r>
          </w:p>
        </w:tc>
        <w:tc>
          <w:tcPr/>
          <w:p>
            <w:pPr>
              <w:pStyle w:val="Compact"/>
              <w:jc w:val="center"/>
            </w:pPr>
            <w:r>
              <w:t xml:space="preserve">2961.22</w:t>
            </w:r>
          </w:p>
        </w:tc>
        <w:tc>
          <w:tcPr/>
          <w:p>
            <w:pPr>
              <w:pStyle w:val="Compact"/>
              <w:jc w:val="center"/>
            </w:pPr>
            <w:r>
              <w:t xml:space="preserve">31.34%</w:t>
            </w:r>
          </w:p>
        </w:tc>
      </w:tr>
      <w:tr>
        <w:tc>
          <w:tcPr/>
          <w:p>
            <w:pPr>
              <w:pStyle w:val="Compact"/>
              <w:jc w:val="center"/>
            </w:pPr>
            <w:r>
              <w:t xml:space="preserve">3.</w:t>
            </w:r>
          </w:p>
        </w:tc>
        <w:tc>
          <w:tcPr/>
          <w:p>
            <w:pPr>
              <w:pStyle w:val="Compact"/>
              <w:jc w:val="center"/>
            </w:pPr>
            <w:r>
              <w:t xml:space="preserve">Supplier</w:t>
            </w:r>
          </w:p>
        </w:tc>
        <w:tc>
          <w:tcPr/>
          <w:p>
            <w:pPr>
              <w:pStyle w:val="Compact"/>
              <w:jc w:val="center"/>
            </w:pPr>
            <w:r>
              <w:t xml:space="preserve">507.57</w:t>
            </w:r>
          </w:p>
        </w:tc>
        <w:tc>
          <w:tcPr/>
          <w:p>
            <w:pPr>
              <w:pStyle w:val="Compact"/>
              <w:jc w:val="center"/>
            </w:pPr>
            <w:r>
              <w:t xml:space="preserve">9.92%</w:t>
            </w:r>
          </w:p>
        </w:tc>
        <w:tc>
          <w:tcPr/>
          <w:p>
            <w:pPr>
              <w:pStyle w:val="Compact"/>
              <w:jc w:val="center"/>
            </w:pPr>
            <w:r>
              <w:t xml:space="preserve">1621.10</w:t>
            </w:r>
          </w:p>
        </w:tc>
        <w:tc>
          <w:tcPr/>
          <w:p>
            <w:pPr>
              <w:pStyle w:val="Compact"/>
              <w:jc w:val="center"/>
            </w:pPr>
            <w:r>
              <w:t xml:space="preserve">9.04%</w:t>
            </w:r>
          </w:p>
        </w:tc>
        <w:tc>
          <w:tcPr/>
          <w:p>
            <w:pPr>
              <w:pStyle w:val="Compact"/>
              <w:jc w:val="center"/>
            </w:pPr>
            <w:r>
              <w:t xml:space="preserve">678.91</w:t>
            </w:r>
          </w:p>
        </w:tc>
        <w:tc>
          <w:tcPr/>
          <w:p>
            <w:pPr>
              <w:pStyle w:val="Compact"/>
              <w:jc w:val="center"/>
            </w:pPr>
            <w:r>
              <w:t xml:space="preserve">5.41%</w:t>
            </w:r>
          </w:p>
        </w:tc>
        <w:tc>
          <w:tcPr/>
          <w:p>
            <w:pPr>
              <w:pStyle w:val="Compact"/>
              <w:jc w:val="center"/>
            </w:pPr>
            <w:r>
              <w:t xml:space="preserve">230.39</w:t>
            </w:r>
          </w:p>
        </w:tc>
        <w:tc>
          <w:tcPr/>
          <w:p>
            <w:pPr>
              <w:pStyle w:val="Compact"/>
              <w:jc w:val="center"/>
            </w:pPr>
            <w:r>
              <w:t xml:space="preserve">2.44%</w:t>
            </w:r>
          </w:p>
        </w:tc>
      </w:tr>
      <w:tr>
        <w:tc>
          <w:tcPr/>
          <w:p>
            <w:pPr>
              <w:pStyle w:val="Compact"/>
              <w:jc w:val="center"/>
            </w:pPr>
            <w:r>
              <w:t xml:space="preserve">4.</w:t>
            </w:r>
          </w:p>
        </w:tc>
        <w:tc>
          <w:tcPr/>
          <w:p>
            <w:pPr>
              <w:pStyle w:val="Compact"/>
              <w:jc w:val="center"/>
            </w:pPr>
            <w:r>
              <w:t xml:space="preserve">Supplier</w:t>
            </w:r>
          </w:p>
        </w:tc>
        <w:tc>
          <w:tcPr/>
          <w:p>
            <w:pPr>
              <w:pStyle w:val="Compact"/>
              <w:jc w:val="center"/>
            </w:pPr>
            <w:r>
              <w:t xml:space="preserve">129.37</w:t>
            </w:r>
          </w:p>
        </w:tc>
        <w:tc>
          <w:tcPr/>
          <w:p>
            <w:pPr>
              <w:pStyle w:val="Compact"/>
              <w:jc w:val="center"/>
            </w:pPr>
            <w:r>
              <w:t xml:space="preserve">2.53%</w:t>
            </w:r>
          </w:p>
        </w:tc>
        <w:tc>
          <w:tcPr/>
          <w:p>
            <w:pPr>
              <w:pStyle w:val="Compact"/>
              <w:jc w:val="center"/>
            </w:pPr>
            <w:r>
              <w:t xml:space="preserve">470.39</w:t>
            </w:r>
          </w:p>
        </w:tc>
        <w:tc>
          <w:tcPr/>
          <w:p>
            <w:pPr>
              <w:pStyle w:val="Compact"/>
              <w:jc w:val="center"/>
            </w:pPr>
            <w:r>
              <w:t xml:space="preserve">2.62%</w:t>
            </w:r>
          </w:p>
        </w:tc>
        <w:tc>
          <w:tcPr/>
          <w:p>
            <w:pPr>
              <w:pStyle w:val="Compact"/>
              <w:jc w:val="center"/>
            </w:pPr>
            <w:r>
              <w:t xml:space="preserve">242.87</w:t>
            </w:r>
          </w:p>
        </w:tc>
        <w:tc>
          <w:tcPr/>
          <w:p>
            <w:pPr>
              <w:pStyle w:val="Compact"/>
              <w:jc w:val="center"/>
            </w:pPr>
            <w:r>
              <w:t xml:space="preserve">1.93%</w:t>
            </w:r>
          </w:p>
        </w:tc>
        <w:tc>
          <w:tcPr/>
          <w:p>
            <w:pPr>
              <w:pStyle w:val="Compact"/>
              <w:jc w:val="center"/>
            </w:pPr>
            <w:r>
              <w:t xml:space="preserve">126.91</w:t>
            </w:r>
          </w:p>
        </w:tc>
        <w:tc>
          <w:tcPr/>
          <w:p>
            <w:pPr>
              <w:pStyle w:val="Compact"/>
              <w:jc w:val="center"/>
            </w:pPr>
            <w:r>
              <w:t xml:space="preserve">1.34%</w:t>
            </w:r>
          </w:p>
        </w:tc>
      </w:tr>
      <w:tr>
        <w:tc>
          <w:tcPr/>
          <w:p>
            <w:pPr>
              <w:pStyle w:val="Compact"/>
              <w:jc w:val="center"/>
            </w:pPr>
            <w:r>
              <w:t xml:space="preserve">5.</w:t>
            </w:r>
          </w:p>
        </w:tc>
        <w:tc>
          <w:tcPr/>
          <w:p>
            <w:pPr>
              <w:pStyle w:val="Compact"/>
              <w:jc w:val="center"/>
            </w:pPr>
            <w:r>
              <w:t xml:space="preserve">Supplier</w:t>
            </w:r>
          </w:p>
        </w:tc>
        <w:tc>
          <w:tcPr/>
          <w:p>
            <w:pPr>
              <w:pStyle w:val="Compact"/>
              <w:jc w:val="center"/>
            </w:pPr>
            <w:r>
              <w:t xml:space="preserve">84.25</w:t>
            </w:r>
          </w:p>
        </w:tc>
        <w:tc>
          <w:tcPr/>
          <w:p>
            <w:pPr>
              <w:pStyle w:val="Compact"/>
              <w:jc w:val="center"/>
            </w:pPr>
            <w:r>
              <w:t xml:space="preserve">1.65%</w:t>
            </w:r>
          </w:p>
        </w:tc>
        <w:tc>
          <w:tcPr/>
          <w:p>
            <w:pPr>
              <w:pStyle w:val="Compact"/>
              <w:jc w:val="center"/>
            </w:pPr>
            <w:r>
              <w:t xml:space="preserve">277.76</w:t>
            </w:r>
          </w:p>
        </w:tc>
        <w:tc>
          <w:tcPr/>
          <w:p>
            <w:pPr>
              <w:pStyle w:val="Compact"/>
              <w:jc w:val="center"/>
            </w:pPr>
            <w:r>
              <w:t xml:space="preserve">1.55%</w:t>
            </w:r>
          </w:p>
        </w:tc>
        <w:tc>
          <w:tcPr/>
          <w:p>
            <w:pPr>
              <w:pStyle w:val="Compact"/>
              <w:jc w:val="center"/>
            </w:pPr>
            <w:r>
              <w:t xml:space="preserve">98.33</w:t>
            </w:r>
          </w:p>
        </w:tc>
        <w:tc>
          <w:tcPr/>
          <w:p>
            <w:pPr>
              <w:pStyle w:val="Compact"/>
              <w:jc w:val="center"/>
            </w:pPr>
            <w:r>
              <w:t xml:space="preserve">0.78%</w:t>
            </w:r>
          </w:p>
        </w:tc>
        <w:tc>
          <w:tcPr/>
          <w:p>
            <w:pPr>
              <w:pStyle w:val="Compact"/>
              <w:jc w:val="center"/>
            </w:pPr>
            <w:r>
              <w:t xml:space="preserve">32.53</w:t>
            </w:r>
          </w:p>
        </w:tc>
        <w:tc>
          <w:tcPr/>
          <w:p>
            <w:pPr>
              <w:pStyle w:val="Compact"/>
              <w:jc w:val="center"/>
            </w:pPr>
            <w:r>
              <w:t xml:space="preserve">0.34%</w:t>
            </w:r>
          </w:p>
        </w:tc>
      </w:tr>
      <w:tr>
        <w:tc>
          <w:tcPr/>
          <w:p>
            <w:pPr>
              <w:pStyle w:val="Compact"/>
              <w:jc w:val="center"/>
            </w:pPr>
            <w:r>
              <w:t xml:space="preserve">6.</w:t>
            </w:r>
          </w:p>
        </w:tc>
        <w:tc>
          <w:tcPr/>
          <w:p>
            <w:pPr>
              <w:pStyle w:val="Compact"/>
              <w:jc w:val="center"/>
            </w:pPr>
            <w:r>
              <w:t xml:space="preserve">Supplier</w:t>
            </w:r>
          </w:p>
        </w:tc>
        <w:tc>
          <w:tcPr/>
          <w:p>
            <w:pPr>
              <w:pStyle w:val="Compact"/>
              <w:jc w:val="center"/>
            </w:pPr>
            <w:r>
              <w:t xml:space="preserve">52.01</w:t>
            </w:r>
          </w:p>
        </w:tc>
        <w:tc>
          <w:tcPr/>
          <w:p>
            <w:pPr>
              <w:pStyle w:val="Compact"/>
              <w:jc w:val="center"/>
            </w:pPr>
            <w:r>
              <w:t xml:space="preserve">1.02%</w:t>
            </w:r>
          </w:p>
        </w:tc>
        <w:tc>
          <w:tcPr/>
          <w:p>
            <w:pPr>
              <w:pStyle w:val="Compact"/>
              <w:jc w:val="center"/>
            </w:pPr>
            <w:r>
              <w:t xml:space="preserve">72.24</w:t>
            </w:r>
          </w:p>
        </w:tc>
        <w:tc>
          <w:tcPr/>
          <w:p>
            <w:pPr>
              <w:pStyle w:val="Compact"/>
              <w:jc w:val="center"/>
            </w:pPr>
            <w:r>
              <w:t xml:space="preserve">0.40%</w:t>
            </w:r>
          </w:p>
        </w:tc>
        <w:tc>
          <w:tcPr/>
          <w:p>
            <w:pPr>
              <w:pStyle w:val="Compact"/>
              <w:jc w:val="center"/>
            </w:pPr>
            <w:r>
              <w:t xml:space="preserve">73.68</w:t>
            </w:r>
          </w:p>
        </w:tc>
        <w:tc>
          <w:tcPr/>
          <w:p>
            <w:pPr>
              <w:pStyle w:val="Compact"/>
              <w:jc w:val="center"/>
            </w:pPr>
            <w:r>
              <w:t xml:space="preserve">0.59%</w:t>
            </w:r>
          </w:p>
        </w:tc>
        <w:tc>
          <w:tcPr/>
          <w:p>
            <w:pPr>
              <w:pStyle w:val="Compact"/>
              <w:jc w:val="center"/>
            </w:pPr>
            <w:r>
              <w:t xml:space="preserve">28.95</w:t>
            </w:r>
          </w:p>
        </w:tc>
        <w:tc>
          <w:tcPr/>
          <w:p>
            <w:pPr>
              <w:pStyle w:val="Compact"/>
              <w:jc w:val="center"/>
            </w:pPr>
            <w:r>
              <w:t xml:space="preserve">0.31%</w:t>
            </w:r>
          </w:p>
        </w:tc>
      </w:tr>
      <w:tr>
        <w:tc>
          <w:tcPr/>
          <w:p>
            <w:pPr>
              <w:pStyle w:val="Compact"/>
              <w:jc w:val="center"/>
            </w:pPr>
            <w:r>
              <w:t xml:space="preserve">7.</w:t>
            </w:r>
          </w:p>
        </w:tc>
        <w:tc>
          <w:tcPr/>
          <w:p>
            <w:pPr>
              <w:pStyle w:val="Compact"/>
              <w:jc w:val="center"/>
            </w:pPr>
            <w:r>
              <w:t xml:space="preserve">Supplier</w:t>
            </w:r>
          </w:p>
        </w:tc>
        <w:tc>
          <w:tcPr/>
          <w:p>
            <w:pPr>
              <w:pStyle w:val="Compact"/>
              <w:jc w:val="center"/>
            </w:pPr>
            <w:r>
              <w:t xml:space="preserve">17.77</w:t>
            </w:r>
          </w:p>
        </w:tc>
        <w:tc>
          <w:tcPr/>
          <w:p>
            <w:pPr>
              <w:pStyle w:val="Compact"/>
              <w:jc w:val="center"/>
            </w:pPr>
            <w:r>
              <w:t xml:space="preserve">0.35%</w:t>
            </w:r>
          </w:p>
        </w:tc>
        <w:tc>
          <w:tcPr/>
          <w:p>
            <w:pPr>
              <w:pStyle w:val="Compact"/>
              <w:jc w:val="center"/>
            </w:pPr>
            <w:r>
              <w:t xml:space="preserve">68.36</w:t>
            </w:r>
          </w:p>
        </w:tc>
        <w:tc>
          <w:tcPr/>
          <w:p>
            <w:pPr>
              <w:pStyle w:val="Compact"/>
              <w:jc w:val="center"/>
            </w:pPr>
            <w:r>
              <w:t xml:space="preserve">0.38%</w:t>
            </w:r>
          </w:p>
        </w:tc>
        <w:tc>
          <w:tcPr/>
          <w:p>
            <w:pPr>
              <w:pStyle w:val="Compact"/>
              <w:jc w:val="center"/>
            </w:pPr>
            <w:r>
              <w:t xml:space="preserve">39.79</w:t>
            </w:r>
          </w:p>
        </w:tc>
        <w:tc>
          <w:tcPr/>
          <w:p>
            <w:pPr>
              <w:pStyle w:val="Compact"/>
              <w:jc w:val="center"/>
            </w:pPr>
            <w:r>
              <w:t xml:space="preserve">0.32%</w:t>
            </w:r>
          </w:p>
        </w:tc>
        <w:tc>
          <w:tcPr/>
          <w:p>
            <w:pPr>
              <w:pStyle w:val="Compact"/>
              <w:jc w:val="center"/>
            </w:pPr>
            <w:r>
              <w:t xml:space="preserve">26.19</w:t>
            </w:r>
          </w:p>
        </w:tc>
        <w:tc>
          <w:tcPr/>
          <w:p>
            <w:pPr>
              <w:pStyle w:val="Compact"/>
              <w:jc w:val="center"/>
            </w:pPr>
            <w:r>
              <w:t xml:space="preserve">0.28%</w:t>
            </w:r>
          </w:p>
        </w:tc>
      </w:tr>
      <w:tr>
        <w:tc>
          <w:tcPr/>
          <w:p>
            <w:pPr>
              <w:pStyle w:val="Compact"/>
              <w:jc w:val="center"/>
            </w:pPr>
            <w:r>
              <w:t xml:space="preserve">8.</w:t>
            </w:r>
          </w:p>
        </w:tc>
        <w:tc>
          <w:tcPr/>
          <w:p>
            <w:pPr>
              <w:pStyle w:val="Compact"/>
              <w:jc w:val="center"/>
            </w:pPr>
            <w:r>
              <w:t xml:space="preserve">Supplier</w:t>
            </w:r>
          </w:p>
        </w:tc>
        <w:tc>
          <w:tcPr/>
          <w:p>
            <w:pPr>
              <w:pStyle w:val="Compact"/>
              <w:jc w:val="center"/>
            </w:pPr>
            <w:r>
              <w:t xml:space="preserve">17.60</w:t>
            </w:r>
          </w:p>
        </w:tc>
        <w:tc>
          <w:tcPr/>
          <w:p>
            <w:pPr>
              <w:pStyle w:val="Compact"/>
              <w:jc w:val="center"/>
            </w:pPr>
            <w:r>
              <w:t xml:space="preserve">0.34%</w:t>
            </w:r>
          </w:p>
        </w:tc>
        <w:tc>
          <w:tcPr/>
          <w:p>
            <w:pPr>
              <w:pStyle w:val="Compact"/>
              <w:jc w:val="center"/>
            </w:pPr>
            <w:r>
              <w:t xml:space="preserve">48.86</w:t>
            </w:r>
          </w:p>
        </w:tc>
        <w:tc>
          <w:tcPr/>
          <w:p>
            <w:pPr>
              <w:pStyle w:val="Compact"/>
              <w:jc w:val="center"/>
            </w:pPr>
            <w:r>
              <w:t xml:space="preserve">0.27%</w:t>
            </w:r>
          </w:p>
        </w:tc>
        <w:tc>
          <w:tcPr/>
          <w:p>
            <w:pPr>
              <w:pStyle w:val="Compact"/>
              <w:jc w:val="center"/>
            </w:pPr>
            <w:r>
              <w:t xml:space="preserve">35.79</w:t>
            </w:r>
          </w:p>
        </w:tc>
        <w:tc>
          <w:tcPr/>
          <w:p>
            <w:pPr>
              <w:pStyle w:val="Compact"/>
              <w:jc w:val="center"/>
            </w:pPr>
            <w:r>
              <w:t xml:space="preserve">0.29%</w:t>
            </w:r>
          </w:p>
        </w:tc>
        <w:tc>
          <w:tcPr/>
          <w:p>
            <w:pPr>
              <w:pStyle w:val="Compact"/>
              <w:jc w:val="center"/>
            </w:pPr>
            <w:r>
              <w:t xml:space="preserve">22.83</w:t>
            </w:r>
          </w:p>
        </w:tc>
        <w:tc>
          <w:tcPr/>
          <w:p>
            <w:pPr>
              <w:pStyle w:val="Compact"/>
              <w:jc w:val="center"/>
            </w:pPr>
            <w:r>
              <w:t xml:space="preserve">0.24%</w:t>
            </w:r>
          </w:p>
        </w:tc>
      </w:tr>
      <w:tr>
        <w:tc>
          <w:tcPr/>
          <w:p>
            <w:pPr>
              <w:pStyle w:val="Compact"/>
              <w:jc w:val="center"/>
            </w:pPr>
            <w:r>
              <w:t xml:space="preserve">9.</w:t>
            </w:r>
          </w:p>
        </w:tc>
        <w:tc>
          <w:tcPr/>
          <w:p>
            <w:pPr>
              <w:pStyle w:val="Compact"/>
              <w:jc w:val="center"/>
            </w:pPr>
            <w:r>
              <w:t xml:space="preserve">Supplier</w:t>
            </w:r>
          </w:p>
        </w:tc>
        <w:tc>
          <w:tcPr/>
          <w:p>
            <w:pPr>
              <w:pStyle w:val="Compact"/>
              <w:jc w:val="center"/>
            </w:pPr>
            <w:r>
              <w:t xml:space="preserve">14.77</w:t>
            </w:r>
          </w:p>
        </w:tc>
        <w:tc>
          <w:tcPr/>
          <w:p>
            <w:pPr>
              <w:pStyle w:val="Compact"/>
              <w:jc w:val="center"/>
            </w:pPr>
            <w:r>
              <w:t xml:space="preserve">0.29%</w:t>
            </w:r>
          </w:p>
        </w:tc>
        <w:tc>
          <w:tcPr/>
          <w:p>
            <w:pPr>
              <w:pStyle w:val="Compact"/>
              <w:jc w:val="center"/>
            </w:pPr>
            <w:r>
              <w:t xml:space="preserve">44.22</w:t>
            </w:r>
          </w:p>
        </w:tc>
        <w:tc>
          <w:tcPr/>
          <w:p>
            <w:pPr>
              <w:pStyle w:val="Compact"/>
              <w:jc w:val="center"/>
            </w:pPr>
            <w:r>
              <w:t xml:space="preserve">0.25%</w:t>
            </w:r>
          </w:p>
        </w:tc>
        <w:tc>
          <w:tcPr/>
          <w:p>
            <w:pPr>
              <w:pStyle w:val="Compact"/>
              <w:jc w:val="center"/>
            </w:pPr>
            <w:r>
              <w:t xml:space="preserve">34.60</w:t>
            </w:r>
          </w:p>
        </w:tc>
        <w:tc>
          <w:tcPr/>
          <w:p>
            <w:pPr>
              <w:pStyle w:val="Compact"/>
              <w:jc w:val="center"/>
            </w:pPr>
            <w:r>
              <w:t xml:space="preserve">0.28%</w:t>
            </w:r>
          </w:p>
        </w:tc>
        <w:tc>
          <w:tcPr/>
          <w:p>
            <w:pPr>
              <w:pStyle w:val="Compact"/>
              <w:jc w:val="center"/>
            </w:pPr>
            <w:r>
              <w:t xml:space="preserve">21.27</w:t>
            </w:r>
          </w:p>
        </w:tc>
        <w:tc>
          <w:tcPr/>
          <w:p>
            <w:pPr>
              <w:pStyle w:val="Compact"/>
              <w:jc w:val="center"/>
            </w:pPr>
            <w:r>
              <w:t xml:space="preserve">0.23%</w:t>
            </w:r>
          </w:p>
        </w:tc>
      </w:tr>
      <w:tr>
        <w:tc>
          <w:tcPr/>
          <w:p>
            <w:pPr>
              <w:pStyle w:val="Compact"/>
              <w:jc w:val="center"/>
            </w:pPr>
            <w:r>
              <w:t xml:space="preserve">10</w:t>
            </w:r>
          </w:p>
        </w:tc>
        <w:tc>
          <w:tcPr/>
          <w:p>
            <w:pPr>
              <w:pStyle w:val="Compact"/>
              <w:jc w:val="center"/>
            </w:pPr>
            <w:r>
              <w:t xml:space="preserve">Supplier</w:t>
            </w:r>
          </w:p>
        </w:tc>
        <w:tc>
          <w:tcPr/>
          <w:p>
            <w:pPr>
              <w:pStyle w:val="Compact"/>
              <w:jc w:val="center"/>
            </w:pPr>
            <w:r>
              <w:t xml:space="preserve">11.99</w:t>
            </w:r>
          </w:p>
        </w:tc>
        <w:tc>
          <w:tcPr/>
          <w:p>
            <w:pPr>
              <w:pStyle w:val="Compact"/>
              <w:jc w:val="center"/>
            </w:pPr>
            <w:r>
              <w:t xml:space="preserve">0.23%</w:t>
            </w:r>
          </w:p>
        </w:tc>
        <w:tc>
          <w:tcPr/>
          <w:p>
            <w:pPr>
              <w:pStyle w:val="Compact"/>
              <w:jc w:val="center"/>
            </w:pPr>
            <w:r>
              <w:t xml:space="preserve">42.00</w:t>
            </w:r>
          </w:p>
        </w:tc>
        <w:tc>
          <w:tcPr/>
          <w:p>
            <w:pPr>
              <w:pStyle w:val="Compact"/>
              <w:jc w:val="center"/>
            </w:pPr>
            <w:r>
              <w:t xml:space="preserve">0.23%</w:t>
            </w:r>
          </w:p>
        </w:tc>
        <w:tc>
          <w:tcPr/>
          <w:p>
            <w:pPr>
              <w:pStyle w:val="Compact"/>
              <w:jc w:val="center"/>
            </w:pPr>
            <w:r>
              <w:t xml:space="preserve">29.86</w:t>
            </w:r>
          </w:p>
        </w:tc>
        <w:tc>
          <w:tcPr/>
          <w:p>
            <w:pPr>
              <w:pStyle w:val="Compact"/>
              <w:jc w:val="center"/>
            </w:pPr>
            <w:r>
              <w:t xml:space="preserve">0.24%</w:t>
            </w:r>
          </w:p>
        </w:tc>
        <w:tc>
          <w:tcPr/>
          <w:p>
            <w:pPr>
              <w:pStyle w:val="Compact"/>
              <w:jc w:val="center"/>
            </w:pPr>
            <w:r>
              <w:t xml:space="preserve">19.83</w:t>
            </w:r>
          </w:p>
        </w:tc>
        <w:tc>
          <w:tcPr/>
          <w:p>
            <w:pPr>
              <w:pStyle w:val="Compact"/>
              <w:jc w:val="center"/>
            </w:pPr>
            <w:r>
              <w:t xml:space="preserve">0.21%</w:t>
            </w:r>
          </w:p>
        </w:tc>
      </w:tr>
      <w:tr>
        <w:tc>
          <w:tcPr/>
          <w:p>
            <w:pPr>
              <w:pStyle w:val="Compact"/>
              <w:jc w:val="center"/>
            </w:pPr>
            <w:r>
              <w:t xml:space="preserve">Total</w:t>
            </w:r>
          </w:p>
        </w:tc>
        <w:tc>
          <w:tcPr/>
          <w:p>
            <w:pPr>
              <w:pStyle w:val="Compact"/>
              <w:jc w:val="center"/>
            </w:pPr>
            <w:r>
              <w:t xml:space="preserve">5,062.32</w:t>
            </w:r>
          </w:p>
        </w:tc>
        <w:tc>
          <w:tcPr/>
          <w:p>
            <w:pPr>
              <w:pStyle w:val="Compact"/>
              <w:jc w:val="center"/>
            </w:pPr>
            <w:r>
              <w:t xml:space="preserve">98.91%</w:t>
            </w:r>
          </w:p>
        </w:tc>
        <w:tc>
          <w:tcPr/>
          <w:p>
            <w:pPr>
              <w:pStyle w:val="Compact"/>
              <w:jc w:val="center"/>
            </w:pPr>
            <w:r>
              <w:t xml:space="preserve">17646.92</w:t>
            </w:r>
          </w:p>
        </w:tc>
        <w:tc>
          <w:tcPr/>
          <w:p>
            <w:pPr>
              <w:pStyle w:val="Compact"/>
              <w:jc w:val="center"/>
            </w:pPr>
            <w:r>
              <w:t xml:space="preserve">98.45%</w:t>
            </w:r>
          </w:p>
        </w:tc>
        <w:tc>
          <w:tcPr/>
          <w:p>
            <w:pPr>
              <w:pStyle w:val="Compact"/>
              <w:jc w:val="center"/>
            </w:pPr>
            <w:r>
              <w:t xml:space="preserve">12167.69</w:t>
            </w:r>
          </w:p>
        </w:tc>
        <w:tc>
          <w:tcPr/>
          <w:p>
            <w:pPr>
              <w:pStyle w:val="Compact"/>
              <w:jc w:val="center"/>
            </w:pPr>
            <w:r>
              <w:t xml:space="preserve">96.93%</w:t>
            </w:r>
          </w:p>
        </w:tc>
        <w:tc>
          <w:tcPr/>
          <w:p>
            <w:pPr>
              <w:pStyle w:val="Compact"/>
              <w:jc w:val="center"/>
            </w:pPr>
            <w:r>
              <w:t xml:space="preserve">9315.30</w:t>
            </w:r>
          </w:p>
        </w:tc>
        <w:tc>
          <w:tcPr/>
          <w:p>
            <w:pPr>
              <w:pStyle w:val="Compact"/>
              <w:jc w:val="center"/>
            </w:pPr>
            <w:r>
              <w:t xml:space="preserve">98.58%</w:t>
            </w:r>
          </w:p>
        </w:tc>
        <w:tc>
          <w:tcPr/>
          <w:p>
            <w:pPr>
              <w:pStyle w:val="Compact"/>
            </w:pPr>
          </w:p>
        </w:tc>
      </w:tr>
    </w:tbl>
    <w:p>
      <w:pPr>
        <w:pStyle w:val="BodyText"/>
      </w:pPr>
      <w:r>
        <w:t xml:space="preserve">We are dependent on suppliers to procure our raw materials. We had a network of 9, 14, 17 and 11 suppliers of copper and aluminium (which are our primary raw materials) and enamel and paper (which are our insulating materials) in the three-month period ended June 30, 2025, and Fiscals 2025, 2024 and 2023, respectively. Set out below are details of our expenses towards our top 10 suppliers for the period/ financial year indicated:</w:t>
      </w:r>
    </w:p>
    <w:p>
      <w:pPr>
        <w:pStyle w:val="BodyText"/>
      </w:pPr>
      <w:r>
        <w:t xml:space="preserve">.</w:t>
      </w:r>
    </w:p>
    <w:p>
      <w:pPr>
        <w:pStyle w:val="BodyText"/>
      </w:pPr>
      <w:r>
        <w:t xml:space="preserve">*These suppliers represent the top 10 suppliers for each of the respective period/ Fiscals and may not necessarily be the same suppliers across the period/ Fiscals.</w:t>
      </w:r>
    </w:p>
    <w:p>
      <w:pPr>
        <w:pStyle w:val="BodyText"/>
      </w:pPr>
      <w:r>
        <w:t xml:space="preserve">Note: Our top 10 suppliers include Wonka Ltd; Vandelay Industries; Elantas Soylent Corp; Hooli Inc; Wayne Enterprises; Stark Industries; Union Copper Rod LLC; and Umbrella Ltd. Names of other suppliers have not been included in this Red Herring Prospectus due to non-receipt of consent from such suppliers to be named in the Offer Documents.</w:t>
      </w:r>
    </w:p>
    <w:p>
      <w:pPr>
        <w:pStyle w:val="BodyText"/>
      </w:pPr>
      <w:r>
        <w:t xml:space="preserve">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 be obligated to supply their products to us and/or may choose to sell their products to our competitors. While we have a large network of long-term 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 2024 and 2023, there can be no assurance that a particular supplier will continue to supply us with raw materials in the future. Further, we cannot assure that we will be able to enter into new or renew our existing arrangements with suppliers on terms acceptable to us, which could have an adverse effect on our ability to source materials in a commercially viable and timely manner, if at all, which may impact our business and profitability.</w:t>
      </w:r>
    </w:p>
    <w:p>
      <w:pPr>
        <w:pStyle w:val="BodyText"/>
      </w:pPr>
      <w:r>
        <w:t xml:space="preserve">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 from. Due to limitations in the availability of suppliers, we are also susceptible to the pricing-power risk of our suppliers controlling the pricing of our raw materials. While we do not rely on any single supplier for the other raw materials and components required for our operations, if any of our suppliers does not supply raw materials on a timely basis or at reasonable prices, we may be unable to manufacture products for our customers or may be unable to ensure the timely delivery of the same. Any discontinuation of production by these suppliers or a failure of these suppliers to adhere to the delivery schedule or the required quality and quantity could hamper our manufacturing schedule and lead to the under-utilization of our manufacturing facilities. Our operations may also be impacted due to</w:t>
      </w:r>
    </w:p>
    <w:p>
      <w:pPr>
        <w:pStyle w:val="BodyText"/>
      </w:pPr>
      <w:r>
        <w:t xml:space="preserve">instances such as disputes with suppliers, our inability to make timely payments to the suppliers, changes in governmental or regulatory policies, including sanctions/ tariffs that may be imposed on certain suppliers, or any other circumstances specific to our suppliers, such as acquisition or consolidation of such supplier, or any other adverse market conditions affecting the industry in which our supplier operates or the economic environment generally. If we were to experience a significant or prolonged shortage of raw materials from any of our suppliers and cannot procure those raw materials from other sources, we may be unable to meet our production schedules for our products and provide such products to our customers in a timely fashion, which may adversely affect our customer relations and reputation. Further, we cannot assure that our suppliers will continue to be associated with us on reasonable terms, or at all. We may also be required to replace a supplier if its products or services do not meet our safety, quality or performance standards or if a supplier unexpectedly suspends or discontinues operations due to reasons beyond its or our control, including strikes, natural calamities or financing constraints caused by credit market conditions. While we have not faced any instances of disruption in raw materials that led to any material adverse impact on our business and operations in the three-month period ended June 30, 2025, and Fiscals 2025, 2024 and 2023, there can be no assurance that these instances will not occur in the future.</w:t>
      </w:r>
    </w:p>
    <w:p>
      <w:pPr>
        <w:pStyle w:val="BodyText"/>
      </w:pPr>
      <w:r>
        <w:t xml:space="preserve">Any shortfall in the supply or availability of raw materials including aluminium or copper, which are our 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Text"/>
      </w:pPr>
      <w:r>
        <w:t xml:space="preserve">Our business depends significantly on price and availability of raw materials including the consistent supply of primary raw materials (i.e. copper, and aluminium, and copper also being our principal raw material), and insulating materials such as enamel and paper, which are essential components in manufacturing our products. Our primary raw materials are copper, and aluminium (copper also being our principal raw material), and our manufacturing processes require certain other raw materials such as enamel, insulating materials and packaging materials which constitute a significant portion of our total expenses. The following table sets forth the details of our total cost of raw materials consumed as a percentage of our total expenses for the period/ Fiscals indicated:</w:t>
      </w:r>
    </w:p>
    <w:tbl>
      <w:tblPr>
        <w:tblStyle w:val="Table"/>
        <w:tblW w:type="pct" w:w="5000"/>
        <w:tblLook w:firstRow="0" w:lastRow="0" w:firstColumn="0" w:lastColumn="0" w:noHBand="0" w:noVBand="0" w:val="0000"/>
        <w:jc w:val="start"/>
      </w:tblPr>
      <w:tblGrid>
        <w:gridCol w:w="1584"/>
        <w:gridCol w:w="1584"/>
        <w:gridCol w:w="1584"/>
        <w:gridCol w:w="1584"/>
        <w:gridCol w:w="1584"/>
      </w:tblGrid>
      <w:tr>
        <w:tc>
          <w:tcPr/>
          <w:p>
            <w:pPr>
              <w:pStyle w:val="Compact"/>
              <w:jc w:val="center"/>
            </w:pPr>
            <w:r>
              <w:t xml:space="preserve">Particulars</w:t>
            </w:r>
          </w:p>
        </w:tc>
        <w:tc>
          <w:tcPr/>
          <w:p>
            <w:pPr>
              <w:pStyle w:val="Compact"/>
              <w:jc w:val="center"/>
            </w:pPr>
            <w:r>
              <w:t xml:space="preserve">Three-month period ended June 30, 2025</w:t>
            </w:r>
          </w:p>
        </w:tc>
        <w:tc>
          <w:tcPr/>
          <w:p>
            <w:pPr>
              <w:pStyle w:val="Compact"/>
              <w:jc w:val="center"/>
            </w:pPr>
            <w:r>
              <w:t xml:space="preserve">Fiscal 2025</w:t>
            </w:r>
          </w:p>
        </w:tc>
        <w:tc>
          <w:tcPr/>
          <w:p>
            <w:pPr>
              <w:pStyle w:val="Compact"/>
              <w:jc w:val="center"/>
            </w:pPr>
            <w:r>
              <w:t xml:space="preserve">Fiscal 2024</w:t>
            </w:r>
          </w:p>
        </w:tc>
        <w:tc>
          <w:tcPr/>
          <w:p>
            <w:pPr>
              <w:pStyle w:val="Compact"/>
              <w:jc w:val="center"/>
            </w:pPr>
            <w:r>
              <w:t xml:space="preserve">Fiscal 2023</w:t>
            </w:r>
          </w:p>
        </w:tc>
      </w:tr>
      <w:tr>
        <w:tc>
          <w:tcPr/>
          <w:p>
            <w:pPr>
              <w:pStyle w:val="Compact"/>
              <w:jc w:val="center"/>
            </w:pPr>
            <w:r>
              <w:t xml:space="preserve">Cost of raw materials and components consumed (₹ in million)</w:t>
            </w:r>
          </w:p>
        </w:tc>
        <w:tc>
          <w:tcPr/>
          <w:p>
            <w:pPr>
              <w:pStyle w:val="Compact"/>
              <w:jc w:val="center"/>
            </w:pPr>
            <w:r>
              <w:t xml:space="preserve">5,094.36</w:t>
            </w:r>
          </w:p>
        </w:tc>
        <w:tc>
          <w:tcPr/>
          <w:p>
            <w:pPr>
              <w:pStyle w:val="Compact"/>
              <w:jc w:val="center"/>
            </w:pPr>
            <w:r>
              <w:t xml:space="preserve">17,418.18</w:t>
            </w:r>
          </w:p>
        </w:tc>
        <w:tc>
          <w:tcPr/>
          <w:p>
            <w:pPr>
              <w:pStyle w:val="Compact"/>
              <w:jc w:val="center"/>
            </w:pPr>
            <w:r>
              <w:t xml:space="preserve">12,514.10</w:t>
            </w:r>
          </w:p>
        </w:tc>
        <w:tc>
          <w:tcPr/>
          <w:p>
            <w:pPr>
              <w:pStyle w:val="Compact"/>
              <w:jc w:val="center"/>
            </w:pPr>
            <w:r>
              <w:t xml:space="preserve">9,449.56</w:t>
            </w:r>
          </w:p>
        </w:tc>
      </w:tr>
      <w:tr>
        <w:tc>
          <w:tcPr/>
          <w:p>
            <w:pPr>
              <w:pStyle w:val="Compact"/>
              <w:jc w:val="center"/>
            </w:pPr>
            <w:r>
              <w:t xml:space="preserve">Cost of materials and components consumed as a percentage of our total expenses (%)</w:t>
            </w:r>
          </w:p>
        </w:tc>
        <w:tc>
          <w:tcPr/>
          <w:p>
            <w:pPr>
              <w:pStyle w:val="Compact"/>
              <w:jc w:val="center"/>
            </w:pPr>
            <w:r>
              <w:t xml:space="preserve">96.29%</w:t>
            </w:r>
          </w:p>
        </w:tc>
        <w:tc>
          <w:tcPr/>
          <w:p>
            <w:pPr>
              <w:pStyle w:val="Compact"/>
              <w:jc w:val="center"/>
            </w:pPr>
            <w:r>
              <w:t xml:space="preserve">94.27%</w:t>
            </w:r>
          </w:p>
        </w:tc>
        <w:tc>
          <w:tcPr/>
          <w:p>
            <w:pPr>
              <w:pStyle w:val="Compact"/>
              <w:jc w:val="center"/>
            </w:pPr>
            <w:r>
              <w:t xml:space="preserve">93.40%</w:t>
            </w:r>
          </w:p>
        </w:tc>
        <w:tc>
          <w:tcPr/>
          <w:p>
            <w:pPr>
              <w:pStyle w:val="Compact"/>
              <w:jc w:val="center"/>
            </w:pPr>
            <w:r>
              <w:t xml:space="preserve">92.54%</w:t>
            </w:r>
          </w:p>
        </w:tc>
      </w:tr>
    </w:tbl>
    <w:p>
      <w:pPr>
        <w:pStyle w:val="BodyText"/>
      </w:pPr>
      <w:r>
        <w:t xml:space="preserve">While we have not experienced any disruption in three-month period ended June 30, 2025, and Fiscals 2025, 2024 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Initech LLC,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w:t>
      </w:r>
    </w:p>
    <w:p>
      <w:pPr>
        <w:pStyle w:val="BodyText"/>
      </w:pPr>
      <w:r>
        <w:t xml:space="preserve">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tbl>
      <w:tblPr>
        <w:tblStyle w:val="Table"/>
        <w:tblW w:type="pct" w:w="5000"/>
        <w:tblLook w:firstRow="0" w:lastRow="0" w:firstColumn="0" w:lastColumn="0" w:noHBand="0" w:noVBand="0" w:val="0000"/>
        <w:jc w:val="start"/>
      </w:tblPr>
      <w:tblGrid>
        <w:gridCol w:w="879"/>
        <w:gridCol w:w="879"/>
        <w:gridCol w:w="879"/>
        <w:gridCol w:w="879"/>
        <w:gridCol w:w="879"/>
        <w:gridCol w:w="879"/>
        <w:gridCol w:w="879"/>
        <w:gridCol w:w="879"/>
        <w:gridCol w:w="879"/>
      </w:tblGrid>
      <w:tr>
        <w:tc>
          <w:tcPr/>
          <w:p>
            <w:pPr>
              <w:pStyle w:val="Compact"/>
              <w:jc w:val="center"/>
            </w:pPr>
            <w:r>
              <w:t xml:space="preserve">Particulars</w:t>
            </w:r>
          </w:p>
        </w:tc>
        <w:tc>
          <w:tcPr/>
          <w:p>
            <w:pPr>
              <w:pStyle w:val="Compact"/>
              <w:jc w:val="center"/>
            </w:pPr>
            <w:r>
              <w:t xml:space="preserve">Three-month period ended June 30, 2025</w:t>
            </w:r>
          </w:p>
        </w:tc>
        <w:tc>
          <w:tcPr/>
          <w:p>
            <w:pPr>
              <w:pStyle w:val="Compact"/>
              <w:jc w:val="center"/>
            </w:pPr>
            <w:r>
              <w:t xml:space="preserve">Fiscal 2025</w:t>
            </w:r>
          </w:p>
        </w:tc>
        <w:tc>
          <w:tcPr/>
          <w:p>
            <w:pPr>
              <w:pStyle w:val="Compact"/>
              <w:jc w:val="center"/>
            </w:pPr>
            <w:r>
              <w:t xml:space="preserve">Fiscal 2024</w:t>
            </w:r>
          </w:p>
        </w:tc>
        <w:tc>
          <w:tcPr/>
          <w:p>
            <w:pPr>
              <w:pStyle w:val="Compact"/>
              <w:jc w:val="center"/>
            </w:pPr>
            <w:r>
              <w:t xml:space="preserve">Fiscal 2023</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Amount (₹in million)</w:t>
            </w:r>
          </w:p>
        </w:tc>
        <w:tc>
          <w:tcPr/>
          <w:p>
            <w:pPr>
              <w:pStyle w:val="Compact"/>
              <w:jc w:val="center"/>
            </w:pPr>
            <w:r>
              <w:t xml:space="preserve">% of total expenses</w:t>
            </w:r>
          </w:p>
        </w:tc>
        <w:tc>
          <w:tcPr/>
          <w:p>
            <w:pPr>
              <w:pStyle w:val="Compact"/>
              <w:jc w:val="center"/>
            </w:pPr>
            <w:r>
              <w:t xml:space="preserve">Amount (₹in million)</w:t>
            </w:r>
          </w:p>
        </w:tc>
        <w:tc>
          <w:tcPr/>
          <w:p>
            <w:pPr>
              <w:pStyle w:val="Compact"/>
              <w:jc w:val="center"/>
            </w:pPr>
            <w:r>
              <w:t xml:space="preserve">% of total expenses</w:t>
            </w:r>
          </w:p>
        </w:tc>
        <w:tc>
          <w:tcPr/>
          <w:p>
            <w:pPr>
              <w:pStyle w:val="Compact"/>
              <w:jc w:val="center"/>
            </w:pPr>
            <w:r>
              <w:t xml:space="preserve">Amount (₹in million)</w:t>
            </w:r>
          </w:p>
        </w:tc>
        <w:tc>
          <w:tcPr/>
          <w:p>
            <w:pPr>
              <w:pStyle w:val="Compact"/>
              <w:jc w:val="center"/>
            </w:pPr>
            <w:r>
              <w:t xml:space="preserve">% of total expenses</w:t>
            </w:r>
          </w:p>
        </w:tc>
        <w:tc>
          <w:tcPr/>
          <w:p>
            <w:pPr>
              <w:pStyle w:val="Compact"/>
              <w:jc w:val="center"/>
            </w:pPr>
            <w:r>
              <w:t xml:space="preserve">Amount (₹in million)</w:t>
            </w:r>
          </w:p>
        </w:tc>
        <w:tc>
          <w:tcPr/>
          <w:p>
            <w:pPr>
              <w:pStyle w:val="Compact"/>
              <w:jc w:val="center"/>
            </w:pPr>
            <w:r>
              <w:t xml:space="preserve">% of total expenses</w:t>
            </w:r>
          </w:p>
        </w:tc>
        <w:tc>
          <w:tcPr/>
          <w:p>
            <w:pPr>
              <w:pStyle w:val="Compact"/>
            </w:pPr>
          </w:p>
        </w:tc>
      </w:tr>
      <w:tr>
        <w:tc>
          <w:tcPr/>
          <w:p>
            <w:pPr>
              <w:pStyle w:val="Compact"/>
              <w:jc w:val="center"/>
            </w:pPr>
            <w:r>
              <w:t xml:space="preserve">Cost of primary raw materials consumed(copper and aluminium) (A)</w:t>
            </w:r>
          </w:p>
        </w:tc>
        <w:tc>
          <w:tcPr/>
          <w:p>
            <w:pPr>
              <w:pStyle w:val="Compact"/>
              <w:jc w:val="center"/>
            </w:pPr>
            <w:r>
              <w:t xml:space="preserve">4,891.18</w:t>
            </w:r>
          </w:p>
        </w:tc>
        <w:tc>
          <w:tcPr/>
          <w:p>
            <w:pPr>
              <w:pStyle w:val="Compact"/>
              <w:jc w:val="center"/>
            </w:pPr>
            <w:r>
              <w:t xml:space="preserve">96.01%</w:t>
            </w:r>
          </w:p>
        </w:tc>
        <w:tc>
          <w:tcPr/>
          <w:p>
            <w:pPr>
              <w:pStyle w:val="Compact"/>
              <w:jc w:val="center"/>
            </w:pPr>
            <w:r>
              <w:t xml:space="preserve">16,669.95</w:t>
            </w:r>
          </w:p>
        </w:tc>
        <w:tc>
          <w:tcPr/>
          <w:p>
            <w:pPr>
              <w:pStyle w:val="Compact"/>
              <w:jc w:val="center"/>
            </w:pPr>
            <w:r>
              <w:t xml:space="preserve">95.70%</w:t>
            </w:r>
          </w:p>
        </w:tc>
        <w:tc>
          <w:tcPr/>
          <w:p>
            <w:pPr>
              <w:pStyle w:val="Compact"/>
              <w:jc w:val="center"/>
            </w:pPr>
            <w:r>
              <w:t xml:space="preserve">11,885.25</w:t>
            </w:r>
          </w:p>
        </w:tc>
        <w:tc>
          <w:tcPr/>
          <w:p>
            <w:pPr>
              <w:pStyle w:val="Compact"/>
              <w:jc w:val="center"/>
            </w:pPr>
            <w:r>
              <w:t xml:space="preserve">94.97%</w:t>
            </w:r>
          </w:p>
        </w:tc>
        <w:tc>
          <w:tcPr/>
          <w:p>
            <w:pPr>
              <w:pStyle w:val="Compact"/>
              <w:jc w:val="center"/>
            </w:pPr>
            <w:r>
              <w:t xml:space="preserve">8,957.00</w:t>
            </w:r>
          </w:p>
        </w:tc>
        <w:tc>
          <w:tcPr/>
          <w:p>
            <w:pPr>
              <w:pStyle w:val="Compact"/>
              <w:jc w:val="center"/>
            </w:pPr>
            <w:r>
              <w:t xml:space="preserve">94.79%</w:t>
            </w:r>
          </w:p>
        </w:tc>
      </w:tr>
      <w:tr>
        <w:tc>
          <w:tcPr/>
          <w:p>
            <w:pPr>
              <w:pStyle w:val="Compact"/>
              <w:jc w:val="center"/>
            </w:pPr>
            <w:r>
              <w:t xml:space="preserve">Cost of other raw materials andcomponents consumed (B)</w:t>
            </w:r>
          </w:p>
        </w:tc>
        <w:tc>
          <w:tcPr/>
          <w:p>
            <w:pPr>
              <w:pStyle w:val="Compact"/>
              <w:jc w:val="center"/>
            </w:pPr>
            <w:r>
              <w:t xml:space="preserve">203.18</w:t>
            </w:r>
          </w:p>
        </w:tc>
        <w:tc>
          <w:tcPr/>
          <w:p>
            <w:pPr>
              <w:pStyle w:val="Compact"/>
              <w:jc w:val="center"/>
            </w:pPr>
            <w:r>
              <w:t xml:space="preserve">3.99%</w:t>
            </w:r>
          </w:p>
        </w:tc>
        <w:tc>
          <w:tcPr/>
          <w:p>
            <w:pPr>
              <w:pStyle w:val="Compact"/>
              <w:jc w:val="center"/>
            </w:pPr>
            <w:r>
              <w:t xml:space="preserve">748.23</w:t>
            </w:r>
          </w:p>
        </w:tc>
        <w:tc>
          <w:tcPr/>
          <w:p>
            <w:pPr>
              <w:pStyle w:val="Compact"/>
              <w:jc w:val="center"/>
            </w:pPr>
            <w:r>
              <w:t xml:space="preserve">4.30%</w:t>
            </w:r>
          </w:p>
        </w:tc>
        <w:tc>
          <w:tcPr/>
          <w:p>
            <w:pPr>
              <w:pStyle w:val="Compact"/>
              <w:jc w:val="center"/>
            </w:pPr>
            <w:r>
              <w:t xml:space="preserve">628.85</w:t>
            </w:r>
          </w:p>
        </w:tc>
        <w:tc>
          <w:tcPr/>
          <w:p>
            <w:pPr>
              <w:pStyle w:val="Compact"/>
              <w:jc w:val="center"/>
            </w:pPr>
            <w:r>
              <w:t xml:space="preserve">5.03%</w:t>
            </w:r>
          </w:p>
        </w:tc>
        <w:tc>
          <w:tcPr/>
          <w:p>
            <w:pPr>
              <w:pStyle w:val="Compact"/>
              <w:jc w:val="center"/>
            </w:pPr>
            <w:r>
              <w:t xml:space="preserve">492.56</w:t>
            </w:r>
          </w:p>
        </w:tc>
        <w:tc>
          <w:tcPr/>
          <w:p>
            <w:pPr>
              <w:pStyle w:val="Compact"/>
              <w:jc w:val="center"/>
            </w:pPr>
            <w:r>
              <w:t xml:space="preserve">5.21%</w:t>
            </w:r>
          </w:p>
        </w:tc>
      </w:tr>
      <w:tr>
        <w:tc>
          <w:tcPr/>
          <w:p>
            <w:pPr>
              <w:pStyle w:val="Compact"/>
              <w:jc w:val="center"/>
            </w:pPr>
            <w:r>
              <w:t xml:space="preserve">Total cost of raw materialsand</w:t>
            </w:r>
          </w:p>
        </w:tc>
        <w:tc>
          <w:tcPr/>
          <w:p>
            <w:pPr>
              <w:pStyle w:val="Compact"/>
              <w:jc w:val="center"/>
            </w:pPr>
            <w:r>
              <w:t xml:space="preserve">5,094.36</w:t>
            </w:r>
          </w:p>
        </w:tc>
        <w:tc>
          <w:tcPr/>
          <w:p>
            <w:pPr>
              <w:pStyle w:val="Compact"/>
              <w:jc w:val="center"/>
            </w:pPr>
            <w:r>
              <w:t xml:space="preserve">100.00%</w:t>
            </w:r>
          </w:p>
        </w:tc>
        <w:tc>
          <w:tcPr/>
          <w:p>
            <w:pPr>
              <w:pStyle w:val="Compact"/>
              <w:jc w:val="center"/>
            </w:pPr>
            <w:r>
              <w:t xml:space="preserve">17,418.18</w:t>
            </w:r>
          </w:p>
        </w:tc>
        <w:tc>
          <w:tcPr/>
          <w:p>
            <w:pPr>
              <w:pStyle w:val="Compact"/>
              <w:jc w:val="center"/>
            </w:pPr>
            <w:r>
              <w:t xml:space="preserve">100.00%</w:t>
            </w:r>
          </w:p>
        </w:tc>
        <w:tc>
          <w:tcPr/>
          <w:p>
            <w:pPr>
              <w:pStyle w:val="Compact"/>
              <w:jc w:val="center"/>
            </w:pPr>
            <w:r>
              <w:t xml:space="preserve">12,514.10</w:t>
            </w:r>
          </w:p>
        </w:tc>
        <w:tc>
          <w:tcPr/>
          <w:p>
            <w:pPr>
              <w:pStyle w:val="Compact"/>
              <w:jc w:val="center"/>
            </w:pPr>
            <w:r>
              <w:t xml:space="preserve">100.00%</w:t>
            </w:r>
          </w:p>
        </w:tc>
        <w:tc>
          <w:tcPr/>
          <w:p>
            <w:pPr>
              <w:pStyle w:val="Compact"/>
              <w:jc w:val="center"/>
            </w:pPr>
            <w:r>
              <w:t xml:space="preserve">9,449.56</w:t>
            </w:r>
          </w:p>
        </w:tc>
        <w:tc>
          <w:tcPr/>
          <w:p>
            <w:pPr>
              <w:pStyle w:val="Compact"/>
              <w:jc w:val="center"/>
            </w:pPr>
            <w:r>
              <w:t xml:space="preserve">100.00%</w:t>
            </w:r>
          </w:p>
        </w:tc>
      </w:tr>
    </w:tbl>
    <w:p/>
    <w:tbl>
      <w:tblPr>
        <w:tblStyle w:val="Table"/>
        <w:tblW w:type="pct" w:w="5000"/>
        <w:tblLook w:firstRow="0" w:lastRow="0" w:firstColumn="0" w:lastColumn="0" w:noHBand="0" w:noVBand="0" w:val="0000"/>
        <w:jc w:val="start"/>
      </w:tblPr>
      <w:tblGrid>
        <w:gridCol w:w="990"/>
        <w:gridCol w:w="990"/>
        <w:gridCol w:w="990"/>
        <w:gridCol w:w="990"/>
        <w:gridCol w:w="990"/>
        <w:gridCol w:w="990"/>
        <w:gridCol w:w="990"/>
        <w:gridCol w:w="990"/>
      </w:tblGrid>
      <w:tr>
        <w:tc>
          <w:tcPr/>
          <w:p>
            <w:pPr>
              <w:pStyle w:val="Compact"/>
              <w:jc w:val="center"/>
            </w:pPr>
            <w:r>
              <w:t xml:space="preserve">Particulars</w:t>
            </w:r>
          </w:p>
        </w:tc>
        <w:tc>
          <w:tcPr/>
          <w:p>
            <w:pPr>
              <w:pStyle w:val="Compact"/>
              <w:jc w:val="center"/>
            </w:pPr>
            <w:r>
              <w:t xml:space="preserve">Three-month period ended June 30, 2025</w:t>
            </w:r>
          </w:p>
        </w:tc>
        <w:tc>
          <w:tcPr/>
          <w:p>
            <w:pPr>
              <w:pStyle w:val="Compact"/>
              <w:jc w:val="center"/>
            </w:pPr>
            <w:r>
              <w:t xml:space="preserve">Fiscal 2025</w:t>
            </w:r>
          </w:p>
        </w:tc>
        <w:tc>
          <w:tcPr/>
          <w:p>
            <w:pPr>
              <w:pStyle w:val="Compact"/>
              <w:jc w:val="center"/>
            </w:pPr>
            <w:r>
              <w:t xml:space="preserve">Fiscal 2024</w:t>
            </w:r>
          </w:p>
        </w:tc>
        <w:tc>
          <w:tcPr/>
          <w:p>
            <w:pPr>
              <w:pStyle w:val="Compact"/>
              <w:jc w:val="center"/>
            </w:pPr>
            <w:r>
              <w:t xml:space="preserve">Fiscal 2023</w:t>
            </w:r>
          </w:p>
        </w:tc>
        <w:tc>
          <w:tcPr/>
          <w:p>
            <w:pPr>
              <w:pStyle w:val="Compact"/>
            </w:pPr>
          </w:p>
        </w:tc>
        <w:tc>
          <w:tcPr/>
          <w:p>
            <w:pPr>
              <w:pStyle w:val="Compact"/>
            </w:pPr>
          </w:p>
        </w:tc>
        <w:tc>
          <w:tcPr/>
          <w:p>
            <w:pPr>
              <w:pStyle w:val="Compact"/>
            </w:pPr>
          </w:p>
        </w:tc>
      </w:tr>
      <w:tr>
        <w:tc>
          <w:tcPr/>
          <w:p>
            <w:pPr>
              <w:pStyle w:val="Compact"/>
              <w:jc w:val="center"/>
            </w:pPr>
            <w:r>
              <w:t xml:space="preserve">Amount (₹in million)</w:t>
            </w:r>
          </w:p>
        </w:tc>
        <w:tc>
          <w:tcPr/>
          <w:p>
            <w:pPr>
              <w:pStyle w:val="Compact"/>
              <w:jc w:val="center"/>
            </w:pPr>
            <w:r>
              <w:t xml:space="preserve">% of total expenses</w:t>
            </w:r>
          </w:p>
        </w:tc>
        <w:tc>
          <w:tcPr/>
          <w:p>
            <w:pPr>
              <w:pStyle w:val="Compact"/>
              <w:jc w:val="center"/>
            </w:pPr>
            <w:r>
              <w:t xml:space="preserve">Amount (₹in million)</w:t>
            </w:r>
          </w:p>
        </w:tc>
        <w:tc>
          <w:tcPr/>
          <w:p>
            <w:pPr>
              <w:pStyle w:val="Compact"/>
              <w:jc w:val="center"/>
            </w:pPr>
            <w:r>
              <w:t xml:space="preserve">% of total expenses</w:t>
            </w:r>
          </w:p>
        </w:tc>
        <w:tc>
          <w:tcPr/>
          <w:p>
            <w:pPr>
              <w:pStyle w:val="Compact"/>
              <w:jc w:val="center"/>
            </w:pPr>
            <w:r>
              <w:t xml:space="preserve">Amount (₹in million)</w:t>
            </w:r>
          </w:p>
        </w:tc>
        <w:tc>
          <w:tcPr/>
          <w:p>
            <w:pPr>
              <w:pStyle w:val="Compact"/>
              <w:jc w:val="center"/>
            </w:pPr>
            <w:r>
              <w:t xml:space="preserve">% of total expenses</w:t>
            </w:r>
          </w:p>
        </w:tc>
        <w:tc>
          <w:tcPr/>
          <w:p>
            <w:pPr>
              <w:pStyle w:val="Compact"/>
              <w:jc w:val="center"/>
            </w:pPr>
            <w:r>
              <w:t xml:space="preserve">Amount (₹in million)</w:t>
            </w:r>
          </w:p>
        </w:tc>
        <w:tc>
          <w:tcPr/>
          <w:p>
            <w:pPr>
              <w:pStyle w:val="Compact"/>
              <w:jc w:val="center"/>
            </w:pPr>
            <w:r>
              <w:t xml:space="preserve">% of total expenses</w:t>
            </w:r>
          </w:p>
        </w:tc>
      </w:tr>
      <w:tr>
        <w:tc>
          <w:tcPr/>
          <w:p>
            <w:pPr>
              <w:pStyle w:val="Compact"/>
              <w:jc w:val="center"/>
            </w:pPr>
            <w:r>
              <w:t xml:space="preserve">components consumed(A+B)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In addition to supply challenges, the cost of raw materials is subject to market fluctuations driven by inflation, foreign exchange rate volatility, and changes in government policies, such as tariffs and environmental regulations. The table below sets forth details of the suppliers from within and outside India and percentage of total expenses towards such suppliers in the period/ Fiscals indicated:</w:t>
      </w:r>
    </w:p>
    <w:tbl>
      <w:tblPr>
        <w:tblStyle w:val="Table"/>
        <w:tblW w:type="pct" w:w="5000"/>
        <w:tblLook w:firstRow="0" w:lastRow="0" w:firstColumn="0" w:lastColumn="0" w:noHBand="0" w:noVBand="0" w:val="0000"/>
        <w:jc w:val="start"/>
      </w:tblPr>
      <w:tblGrid>
        <w:gridCol w:w="879"/>
        <w:gridCol w:w="879"/>
        <w:gridCol w:w="879"/>
        <w:gridCol w:w="879"/>
        <w:gridCol w:w="879"/>
        <w:gridCol w:w="879"/>
        <w:gridCol w:w="879"/>
        <w:gridCol w:w="879"/>
        <w:gridCol w:w="879"/>
      </w:tblGrid>
      <w:tr>
        <w:tc>
          <w:tcPr/>
          <w:p>
            <w:pPr>
              <w:pStyle w:val="Compact"/>
              <w:jc w:val="center"/>
            </w:pPr>
            <w:r>
              <w:t xml:space="preserve">Particulars</w:t>
            </w:r>
          </w:p>
        </w:tc>
        <w:tc>
          <w:tcPr/>
          <w:p>
            <w:pPr>
              <w:pStyle w:val="Compact"/>
              <w:jc w:val="center"/>
            </w:pPr>
            <w:r>
              <w:t xml:space="preserve">Three-month period ended June 30, 2025</w:t>
            </w:r>
          </w:p>
        </w:tc>
        <w:tc>
          <w:tcPr/>
          <w:p>
            <w:pPr>
              <w:pStyle w:val="Compact"/>
              <w:jc w:val="center"/>
            </w:pPr>
            <w:r>
              <w:t xml:space="preserve">Fiscal 2025</w:t>
            </w:r>
          </w:p>
        </w:tc>
        <w:tc>
          <w:tcPr/>
          <w:p>
            <w:pPr>
              <w:pStyle w:val="Compact"/>
              <w:jc w:val="center"/>
            </w:pPr>
            <w:r>
              <w:t xml:space="preserve">Fiscal 2024</w:t>
            </w:r>
          </w:p>
        </w:tc>
        <w:tc>
          <w:tcPr/>
          <w:p>
            <w:pPr>
              <w:pStyle w:val="Compact"/>
              <w:jc w:val="center"/>
            </w:pPr>
            <w:r>
              <w:t xml:space="preserve">Fiscal 2023</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Amount(₹ in million)</w:t>
            </w:r>
          </w:p>
        </w:tc>
        <w:tc>
          <w:tcPr/>
          <w:p>
            <w:pPr>
              <w:pStyle w:val="Compact"/>
              <w:jc w:val="center"/>
            </w:pPr>
            <w:r>
              <w:t xml:space="preserve">% of expenses</w:t>
            </w:r>
          </w:p>
        </w:tc>
        <w:tc>
          <w:tcPr/>
          <w:p>
            <w:pPr>
              <w:pStyle w:val="Compact"/>
              <w:jc w:val="center"/>
            </w:pPr>
            <w:r>
              <w:t xml:space="preserve">Amount(₹ inmillion)</w:t>
            </w:r>
          </w:p>
        </w:tc>
        <w:tc>
          <w:tcPr/>
          <w:p>
            <w:pPr>
              <w:pStyle w:val="Compact"/>
              <w:jc w:val="center"/>
            </w:pPr>
            <w:r>
              <w:t xml:space="preserve">% of expenses</w:t>
            </w:r>
          </w:p>
        </w:tc>
        <w:tc>
          <w:tcPr/>
          <w:p>
            <w:pPr>
              <w:pStyle w:val="Compact"/>
              <w:jc w:val="center"/>
            </w:pPr>
            <w:r>
              <w:t xml:space="preserve">Amount(₹ in million)</w:t>
            </w:r>
          </w:p>
        </w:tc>
        <w:tc>
          <w:tcPr/>
          <w:p>
            <w:pPr>
              <w:pStyle w:val="Compact"/>
              <w:jc w:val="center"/>
            </w:pPr>
            <w:r>
              <w:t xml:space="preserve">% of expenses</w:t>
            </w:r>
          </w:p>
        </w:tc>
        <w:tc>
          <w:tcPr/>
          <w:p>
            <w:pPr>
              <w:pStyle w:val="Compact"/>
              <w:jc w:val="center"/>
            </w:pPr>
            <w:r>
              <w:t xml:space="preserve">Amount(₹ inmillion)</w:t>
            </w:r>
          </w:p>
        </w:tc>
        <w:tc>
          <w:tcPr/>
          <w:p>
            <w:pPr>
              <w:pStyle w:val="Compact"/>
              <w:jc w:val="center"/>
            </w:pPr>
            <w:r>
              <w:t xml:space="preserve">% of expenses</w:t>
            </w:r>
          </w:p>
        </w:tc>
        <w:tc>
          <w:tcPr/>
          <w:p>
            <w:pPr>
              <w:pStyle w:val="Compact"/>
            </w:pPr>
          </w:p>
        </w:tc>
      </w:tr>
      <w:tr>
        <w:tc>
          <w:tcPr/>
          <w:p>
            <w:pPr>
              <w:pStyle w:val="Compact"/>
              <w:jc w:val="center"/>
            </w:pPr>
            <w:r>
              <w:t xml:space="preserve">Domestic suppliers</w:t>
            </w:r>
          </w:p>
        </w:tc>
        <w:tc>
          <w:tcPr/>
          <w:p>
            <w:pPr>
              <w:pStyle w:val="Compact"/>
              <w:jc w:val="center"/>
            </w:pPr>
            <w:r>
              <w:t xml:space="preserve">2,800.29</w:t>
            </w:r>
          </w:p>
        </w:tc>
        <w:tc>
          <w:tcPr/>
          <w:p>
            <w:pPr>
              <w:pStyle w:val="Compact"/>
              <w:jc w:val="center"/>
            </w:pPr>
            <w:r>
              <w:t xml:space="preserve">54.97%</w:t>
            </w:r>
          </w:p>
        </w:tc>
        <w:tc>
          <w:tcPr/>
          <w:p>
            <w:pPr>
              <w:pStyle w:val="Compact"/>
              <w:jc w:val="center"/>
            </w:pPr>
            <w:r>
              <w:t xml:space="preserve">10,671.66</w:t>
            </w:r>
          </w:p>
        </w:tc>
        <w:tc>
          <w:tcPr/>
          <w:p>
            <w:pPr>
              <w:pStyle w:val="Compact"/>
              <w:jc w:val="center"/>
            </w:pPr>
            <w:r>
              <w:t xml:space="preserve">61.27%</w:t>
            </w:r>
          </w:p>
        </w:tc>
        <w:tc>
          <w:tcPr/>
          <w:p>
            <w:pPr>
              <w:pStyle w:val="Compact"/>
              <w:jc w:val="center"/>
            </w:pPr>
            <w:r>
              <w:t xml:space="preserve">9,837.40</w:t>
            </w:r>
          </w:p>
        </w:tc>
        <w:tc>
          <w:tcPr/>
          <w:p>
            <w:pPr>
              <w:pStyle w:val="Compact"/>
              <w:jc w:val="center"/>
            </w:pPr>
            <w:r>
              <w:t xml:space="preserve">78.61%</w:t>
            </w:r>
          </w:p>
        </w:tc>
        <w:tc>
          <w:tcPr/>
          <w:p>
            <w:pPr>
              <w:pStyle w:val="Compact"/>
              <w:jc w:val="center"/>
            </w:pPr>
            <w:r>
              <w:t xml:space="preserve">6,472.40</w:t>
            </w:r>
          </w:p>
        </w:tc>
        <w:tc>
          <w:tcPr/>
          <w:p>
            <w:pPr>
              <w:pStyle w:val="Compact"/>
              <w:jc w:val="center"/>
            </w:pPr>
            <w:r>
              <w:t xml:space="preserve">68.49%</w:t>
            </w:r>
          </w:p>
        </w:tc>
      </w:tr>
      <w:tr>
        <w:tc>
          <w:tcPr/>
          <w:p>
            <w:pPr>
              <w:pStyle w:val="Compact"/>
              <w:jc w:val="center"/>
            </w:pPr>
            <w:r>
              <w:t xml:space="preserve">Suppliers from outsideIndia</w:t>
            </w:r>
          </w:p>
        </w:tc>
        <w:tc>
          <w:tcPr/>
          <w:p>
            <w:pPr>
              <w:pStyle w:val="Compact"/>
              <w:jc w:val="center"/>
            </w:pPr>
            <w:r>
              <w:t xml:space="preserve">2,294.06</w:t>
            </w:r>
          </w:p>
        </w:tc>
        <w:tc>
          <w:tcPr/>
          <w:p>
            <w:pPr>
              <w:pStyle w:val="Compact"/>
              <w:jc w:val="center"/>
            </w:pPr>
            <w:r>
              <w:t xml:space="preserve">45.03%</w:t>
            </w:r>
          </w:p>
        </w:tc>
        <w:tc>
          <w:tcPr/>
          <w:p>
            <w:pPr>
              <w:pStyle w:val="Compact"/>
              <w:jc w:val="center"/>
            </w:pPr>
            <w:r>
              <w:t xml:space="preserve">6,746.51</w:t>
            </w:r>
          </w:p>
        </w:tc>
        <w:tc>
          <w:tcPr/>
          <w:p>
            <w:pPr>
              <w:pStyle w:val="Compact"/>
              <w:jc w:val="center"/>
            </w:pPr>
            <w:r>
              <w:t xml:space="preserve">38.73%</w:t>
            </w:r>
          </w:p>
        </w:tc>
        <w:tc>
          <w:tcPr/>
          <w:p>
            <w:pPr>
              <w:pStyle w:val="Compact"/>
              <w:jc w:val="center"/>
            </w:pPr>
            <w:r>
              <w:t xml:space="preserve">2,676.70</w:t>
            </w:r>
          </w:p>
        </w:tc>
        <w:tc>
          <w:tcPr/>
          <w:p>
            <w:pPr>
              <w:pStyle w:val="Compact"/>
              <w:jc w:val="center"/>
            </w:pPr>
            <w:r>
              <w:t xml:space="preserve">21.39%</w:t>
            </w:r>
          </w:p>
        </w:tc>
        <w:tc>
          <w:tcPr/>
          <w:p>
            <w:pPr>
              <w:pStyle w:val="Compact"/>
              <w:jc w:val="center"/>
            </w:pPr>
            <w:r>
              <w:t xml:space="preserve">2,977.16</w:t>
            </w:r>
          </w:p>
        </w:tc>
        <w:tc>
          <w:tcPr/>
          <w:p>
            <w:pPr>
              <w:pStyle w:val="Compact"/>
              <w:jc w:val="center"/>
            </w:pPr>
            <w:r>
              <w:t xml:space="preserve">31.51%</w:t>
            </w:r>
          </w:p>
        </w:tc>
      </w:tr>
      <w:tr>
        <w:tc>
          <w:tcPr/>
          <w:p>
            <w:pPr>
              <w:pStyle w:val="Compact"/>
              <w:jc w:val="center"/>
            </w:pPr>
            <w:r>
              <w:t xml:space="preserve">Total</w:t>
            </w:r>
          </w:p>
        </w:tc>
        <w:tc>
          <w:tcPr/>
          <w:p>
            <w:pPr>
              <w:pStyle w:val="Compact"/>
              <w:jc w:val="center"/>
            </w:pPr>
            <w:r>
              <w:t xml:space="preserve">5,094.36</w:t>
            </w:r>
          </w:p>
        </w:tc>
        <w:tc>
          <w:tcPr/>
          <w:p>
            <w:pPr>
              <w:pStyle w:val="Compact"/>
              <w:jc w:val="center"/>
            </w:pPr>
            <w:r>
              <w:t xml:space="preserve">100.00%</w:t>
            </w:r>
          </w:p>
        </w:tc>
        <w:tc>
          <w:tcPr/>
          <w:p>
            <w:pPr>
              <w:pStyle w:val="Compact"/>
              <w:jc w:val="center"/>
            </w:pPr>
            <w:r>
              <w:t xml:space="preserve">17,418.18</w:t>
            </w:r>
          </w:p>
        </w:tc>
        <w:tc>
          <w:tcPr/>
          <w:p>
            <w:pPr>
              <w:pStyle w:val="Compact"/>
              <w:jc w:val="center"/>
            </w:pPr>
            <w:r>
              <w:t xml:space="preserve">100.00%</w:t>
            </w:r>
          </w:p>
        </w:tc>
        <w:tc>
          <w:tcPr/>
          <w:p>
            <w:pPr>
              <w:pStyle w:val="Compact"/>
              <w:jc w:val="center"/>
            </w:pPr>
            <w:r>
              <w:t xml:space="preserve">12,514.10</w:t>
            </w:r>
          </w:p>
        </w:tc>
        <w:tc>
          <w:tcPr/>
          <w:p>
            <w:pPr>
              <w:pStyle w:val="Compact"/>
              <w:jc w:val="center"/>
            </w:pPr>
            <w:r>
              <w:t xml:space="preserve">100.00%</w:t>
            </w:r>
          </w:p>
        </w:tc>
        <w:tc>
          <w:tcPr/>
          <w:p>
            <w:pPr>
              <w:pStyle w:val="Compact"/>
              <w:jc w:val="center"/>
            </w:pPr>
            <w:r>
              <w:t xml:space="preserve">9,449.56</w:t>
            </w:r>
          </w:p>
        </w:tc>
        <w:tc>
          <w:tcPr/>
          <w:p>
            <w:pPr>
              <w:pStyle w:val="Compact"/>
              <w:jc w:val="center"/>
            </w:pPr>
            <w:r>
              <w:t xml:space="preserve">100.00%</w:t>
            </w:r>
          </w:p>
        </w:tc>
      </w:tr>
    </w:tbl>
    <w:p>
      <w:pPr>
        <w:pStyle w:val="BodyText"/>
      </w:pPr>
      <w:r>
        <w:t xml:space="preserve">Set out below is the contribution of our suppliers from Gujarat and in UAE for the three-month period ended June 30, 2025, and Fiscals 2025, 2024, and 2023:</w:t>
      </w:r>
    </w:p>
    <w:tbl>
      <w:tblPr>
        <w:tblStyle w:val="Table"/>
        <w:tblW w:type="pct" w:w="5000"/>
        <w:tblLook w:firstRow="0" w:lastRow="0" w:firstColumn="0" w:lastColumn="0" w:noHBand="0" w:noVBand="0" w:val="0000"/>
        <w:jc w:val="start"/>
      </w:tblPr>
      <w:tblGrid>
        <w:gridCol w:w="879"/>
        <w:gridCol w:w="879"/>
        <w:gridCol w:w="879"/>
        <w:gridCol w:w="879"/>
        <w:gridCol w:w="879"/>
        <w:gridCol w:w="879"/>
        <w:gridCol w:w="879"/>
        <w:gridCol w:w="879"/>
        <w:gridCol w:w="879"/>
      </w:tblGrid>
      <w:tr>
        <w:tc>
          <w:tcPr/>
          <w:p>
            <w:pPr>
              <w:pStyle w:val="Compact"/>
              <w:jc w:val="center"/>
            </w:pPr>
            <w:r>
              <w:t xml:space="preserve">Particulars</w:t>
            </w:r>
          </w:p>
        </w:tc>
        <w:tc>
          <w:tcPr/>
          <w:p>
            <w:pPr>
              <w:pStyle w:val="Compact"/>
              <w:jc w:val="center"/>
            </w:pPr>
            <w:r>
              <w:t xml:space="preserve">Three-month period ended June 30, 2025</w:t>
            </w:r>
          </w:p>
        </w:tc>
        <w:tc>
          <w:tcPr/>
          <w:p>
            <w:pPr>
              <w:pStyle w:val="Compact"/>
              <w:jc w:val="center"/>
            </w:pPr>
            <w:r>
              <w:t xml:space="preserve">Fiscal 2025</w:t>
            </w:r>
          </w:p>
        </w:tc>
        <w:tc>
          <w:tcPr/>
          <w:p>
            <w:pPr>
              <w:pStyle w:val="Compact"/>
              <w:jc w:val="center"/>
            </w:pPr>
            <w:r>
              <w:t xml:space="preserve">Fiscal 2024</w:t>
            </w:r>
          </w:p>
        </w:tc>
        <w:tc>
          <w:tcPr/>
          <w:p>
            <w:pPr>
              <w:pStyle w:val="Compact"/>
              <w:jc w:val="center"/>
            </w:pPr>
            <w:r>
              <w:t xml:space="preserve">Fiscal 2023</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Amount (₹ in million)</w:t>
            </w:r>
          </w:p>
        </w:tc>
        <w:tc>
          <w:tcPr/>
          <w:p>
            <w:pPr>
              <w:pStyle w:val="Compact"/>
              <w:jc w:val="center"/>
            </w:pPr>
            <w:r>
              <w:t xml:space="preserve">% of total cost of raw materials and components purchased</w:t>
            </w:r>
          </w:p>
        </w:tc>
        <w:tc>
          <w:tcPr/>
          <w:p>
            <w:pPr>
              <w:pStyle w:val="Compact"/>
              <w:jc w:val="center"/>
            </w:pPr>
            <w:r>
              <w:t xml:space="preserve">Amount (₹ in million)</w:t>
            </w:r>
          </w:p>
        </w:tc>
        <w:tc>
          <w:tcPr/>
          <w:p>
            <w:pPr>
              <w:pStyle w:val="Compact"/>
              <w:jc w:val="center"/>
            </w:pPr>
            <w:r>
              <w:t xml:space="preserve">% of total cost of raw materials and components purchased</w:t>
            </w:r>
          </w:p>
        </w:tc>
        <w:tc>
          <w:tcPr/>
          <w:p>
            <w:pPr>
              <w:pStyle w:val="Compact"/>
              <w:jc w:val="center"/>
            </w:pPr>
            <w:r>
              <w:t xml:space="preserve">Amount (₹ in million)</w:t>
            </w:r>
          </w:p>
        </w:tc>
        <w:tc>
          <w:tcPr/>
          <w:p>
            <w:pPr>
              <w:pStyle w:val="Compact"/>
              <w:jc w:val="center"/>
            </w:pPr>
            <w:r>
              <w:t xml:space="preserve">% of total cost of raw materials and components purchased</w:t>
            </w:r>
          </w:p>
        </w:tc>
        <w:tc>
          <w:tcPr/>
          <w:p>
            <w:pPr>
              <w:pStyle w:val="Compact"/>
              <w:jc w:val="center"/>
            </w:pPr>
            <w:r>
              <w:t xml:space="preserve">Amount (₹ in million)</w:t>
            </w:r>
          </w:p>
        </w:tc>
        <w:tc>
          <w:tcPr/>
          <w:p>
            <w:pPr>
              <w:pStyle w:val="Compact"/>
              <w:jc w:val="center"/>
            </w:pPr>
            <w:r>
              <w:t xml:space="preserve">% of total cost of raw materials and componentspurchased</w:t>
            </w:r>
          </w:p>
        </w:tc>
        <w:tc>
          <w:tcPr/>
          <w:p>
            <w:pPr>
              <w:pStyle w:val="Compact"/>
            </w:pPr>
          </w:p>
        </w:tc>
      </w:tr>
      <w:tr>
        <w:tc>
          <w:tcPr/>
          <w:p>
            <w:pPr>
              <w:pStyle w:val="Compact"/>
              <w:jc w:val="center"/>
            </w:pPr>
            <w:r>
              <w:t xml:space="preserve">Gujarat</w:t>
            </w:r>
          </w:p>
        </w:tc>
        <w:tc>
          <w:tcPr/>
          <w:p>
            <w:pPr>
              <w:pStyle w:val="Compact"/>
              <w:jc w:val="center"/>
            </w:pPr>
            <w:r>
              <w:t xml:space="preserve">225.95</w:t>
            </w:r>
          </w:p>
        </w:tc>
        <w:tc>
          <w:tcPr/>
          <w:p>
            <w:pPr>
              <w:pStyle w:val="Compact"/>
              <w:jc w:val="center"/>
            </w:pPr>
            <w:r>
              <w:t xml:space="preserve">4.41%</w:t>
            </w:r>
          </w:p>
        </w:tc>
        <w:tc>
          <w:tcPr/>
          <w:p>
            <w:pPr>
              <w:pStyle w:val="Compact"/>
              <w:jc w:val="center"/>
            </w:pPr>
            <w:r>
              <w:t xml:space="preserve">8,698.99</w:t>
            </w:r>
          </w:p>
        </w:tc>
        <w:tc>
          <w:tcPr/>
          <w:p>
            <w:pPr>
              <w:pStyle w:val="Compact"/>
              <w:jc w:val="center"/>
            </w:pPr>
            <w:r>
              <w:t xml:space="preserve">48.88%</w:t>
            </w:r>
          </w:p>
        </w:tc>
        <w:tc>
          <w:tcPr/>
          <w:p>
            <w:pPr>
              <w:pStyle w:val="Compact"/>
              <w:jc w:val="center"/>
            </w:pPr>
            <w:r>
              <w:t xml:space="preserve">7,578.49</w:t>
            </w:r>
          </w:p>
        </w:tc>
        <w:tc>
          <w:tcPr/>
          <w:p>
            <w:pPr>
              <w:pStyle w:val="Compact"/>
              <w:jc w:val="center"/>
            </w:pPr>
            <w:r>
              <w:t xml:space="preserve">60.37%</w:t>
            </w:r>
          </w:p>
        </w:tc>
        <w:tc>
          <w:tcPr/>
          <w:p>
            <w:pPr>
              <w:pStyle w:val="Compact"/>
              <w:jc w:val="center"/>
            </w:pPr>
            <w:r>
              <w:t xml:space="preserve">2,977.48</w:t>
            </w:r>
          </w:p>
        </w:tc>
        <w:tc>
          <w:tcPr/>
          <w:p>
            <w:pPr>
              <w:pStyle w:val="Compact"/>
              <w:jc w:val="center"/>
            </w:pPr>
            <w:r>
              <w:t xml:space="preserve">31.51%</w:t>
            </w:r>
          </w:p>
        </w:tc>
      </w:tr>
      <w:tr>
        <w:tc>
          <w:tcPr/>
          <w:p>
            <w:pPr>
              <w:pStyle w:val="Compact"/>
              <w:jc w:val="center"/>
            </w:pPr>
            <w:r>
              <w:t xml:space="preserve">UAE</w:t>
            </w:r>
          </w:p>
        </w:tc>
        <w:tc>
          <w:tcPr/>
          <w:p>
            <w:pPr>
              <w:pStyle w:val="Compact"/>
              <w:jc w:val="center"/>
            </w:pPr>
            <w:r>
              <w:t xml:space="preserve">2,119.68</w:t>
            </w:r>
          </w:p>
        </w:tc>
        <w:tc>
          <w:tcPr/>
          <w:p>
            <w:pPr>
              <w:pStyle w:val="Compact"/>
              <w:jc w:val="center"/>
            </w:pPr>
            <w:r>
              <w:t xml:space="preserve">41.41%</w:t>
            </w:r>
          </w:p>
        </w:tc>
        <w:tc>
          <w:tcPr/>
          <w:p>
            <w:pPr>
              <w:pStyle w:val="Compact"/>
              <w:jc w:val="center"/>
            </w:pPr>
            <w:r>
              <w:t xml:space="preserve">6,856.58</w:t>
            </w:r>
          </w:p>
        </w:tc>
        <w:tc>
          <w:tcPr/>
          <w:p>
            <w:pPr>
              <w:pStyle w:val="Compact"/>
              <w:jc w:val="center"/>
            </w:pPr>
            <w:r>
              <w:t xml:space="preserve">38.52%</w:t>
            </w:r>
          </w:p>
        </w:tc>
        <w:tc>
          <w:tcPr/>
          <w:p>
            <w:pPr>
              <w:pStyle w:val="Compact"/>
              <w:jc w:val="center"/>
            </w:pPr>
            <w:r>
              <w:t xml:space="preserve">2,488.83</w:t>
            </w:r>
          </w:p>
        </w:tc>
        <w:tc>
          <w:tcPr/>
          <w:p>
            <w:pPr>
              <w:pStyle w:val="Compact"/>
              <w:jc w:val="center"/>
            </w:pPr>
            <w:r>
              <w:t xml:space="preserve">19.83%</w:t>
            </w:r>
          </w:p>
        </w:tc>
        <w:tc>
          <w:tcPr/>
          <w:p>
            <w:pPr>
              <w:pStyle w:val="Compact"/>
              <w:jc w:val="center"/>
            </w:pPr>
            <w:r>
              <w:t xml:space="preserve">2,970.67</w:t>
            </w:r>
          </w:p>
        </w:tc>
        <w:tc>
          <w:tcPr/>
          <w:p>
            <w:pPr>
              <w:pStyle w:val="Compact"/>
              <w:jc w:val="center"/>
            </w:pPr>
            <w:r>
              <w:t xml:space="preserve">31.44%</w:t>
            </w:r>
          </w:p>
        </w:tc>
      </w:tr>
      <w:tr>
        <w:tc>
          <w:tcPr/>
          <w:p>
            <w:pPr>
              <w:pStyle w:val="Compact"/>
              <w:jc w:val="center"/>
            </w:pPr>
            <w:r>
              <w:t xml:space="preserve">Total</w:t>
            </w:r>
          </w:p>
        </w:tc>
        <w:tc>
          <w:tcPr/>
          <w:p>
            <w:pPr>
              <w:pStyle w:val="Compact"/>
              <w:jc w:val="center"/>
            </w:pPr>
            <w:r>
              <w:t xml:space="preserve">2,345.63</w:t>
            </w:r>
          </w:p>
        </w:tc>
        <w:tc>
          <w:tcPr/>
          <w:p>
            <w:pPr>
              <w:pStyle w:val="Compact"/>
              <w:jc w:val="center"/>
            </w:pPr>
            <w:r>
              <w:t xml:space="preserve">45.82%</w:t>
            </w:r>
          </w:p>
        </w:tc>
        <w:tc>
          <w:tcPr/>
          <w:p>
            <w:pPr>
              <w:pStyle w:val="Compact"/>
              <w:jc w:val="center"/>
            </w:pPr>
            <w:r>
              <w:t xml:space="preserve">15,555.57</w:t>
            </w:r>
          </w:p>
        </w:tc>
        <w:tc>
          <w:tcPr/>
          <w:p>
            <w:pPr>
              <w:pStyle w:val="Compact"/>
              <w:jc w:val="center"/>
            </w:pPr>
            <w:r>
              <w:t xml:space="preserve">87.40%</w:t>
            </w:r>
          </w:p>
        </w:tc>
        <w:tc>
          <w:tcPr/>
          <w:p>
            <w:pPr>
              <w:pStyle w:val="Compact"/>
              <w:jc w:val="center"/>
            </w:pPr>
            <w:r>
              <w:t xml:space="preserve">10,067.32</w:t>
            </w:r>
          </w:p>
        </w:tc>
        <w:tc>
          <w:tcPr/>
          <w:p>
            <w:pPr>
              <w:pStyle w:val="Compact"/>
              <w:jc w:val="center"/>
            </w:pPr>
            <w:r>
              <w:t xml:space="preserve">80.20%</w:t>
            </w:r>
          </w:p>
        </w:tc>
        <w:tc>
          <w:tcPr/>
          <w:p>
            <w:pPr>
              <w:pStyle w:val="Compact"/>
              <w:jc w:val="center"/>
            </w:pPr>
            <w:r>
              <w:t xml:space="preserve">5,948.15</w:t>
            </w:r>
          </w:p>
        </w:tc>
        <w:tc>
          <w:tcPr/>
          <w:p>
            <w:pPr>
              <w:pStyle w:val="Compact"/>
              <w:jc w:val="center"/>
            </w:pPr>
            <w:r>
              <w:t xml:space="preserve">62.95%</w:t>
            </w:r>
          </w:p>
        </w:tc>
      </w:tr>
    </w:tbl>
    <w:p>
      <w:pPr>
        <w:pStyle w:val="BodyText"/>
      </w:pPr>
      <w:r>
        <w:t xml:space="preserve">During the last three Fiscals, the prices of copper and aluminium have experienced a compounded annual growth rate (CAGR) of 3.1% and 0.5%, respectively, leading to increased input costs (Source: CARE Report). While we have not faced any significant challenges in the procurement of raw materials in the three-month period ended June 30, 2025 or Fiscals 2025, 2024 and 2023, we cannot assure that we will not face any disruptions in future. Any significant shortfall in supply or increase in costs could adversely affect the pricing and supply of our products, impair our competitiveness, and negatively impact our business operations, financial condition, cash flows and results of operations.</w:t>
      </w:r>
    </w:p>
    <w:p>
      <w:pPr>
        <w:pStyle w:val="BodyText"/>
      </w:pPr>
      <w:r>
        <w:t xml:space="preserve">A significant portion of our revenue from operations i.e. 71.73%, 74.79%, 75.17% and 79.08% of our operating revenue for the three-month period ended June 30, 2025 and Fiscals 2025, 2024 and 2023, respectively is attributable to the power sector (generation, transmission and distribution) industry (</w:t>
      </w:r>
      <w:r>
        <w:t xml:space="preserve">“</w:t>
      </w:r>
      <w:r>
        <w:t xml:space="preserve">Power Sector</w:t>
      </w:r>
      <w:r>
        <w:t xml:space="preserve">”</w:t>
      </w:r>
      <w:r>
        <w:t xml:space="preserve">). Any economic cyclicality coupled with reduced demand or negative trend in the Power Sector industry or other industries that we operate in, could adversely affect our business, results of operations and financial condition.</w:t>
      </w:r>
    </w:p>
    <w:p>
      <w:pPr>
        <w:pStyle w:val="BodyText"/>
      </w:pPr>
      <w:r>
        <w:t xml:space="preserve">We are dependent on our customers from the Power Sector for a significant portion of our operating revenue. Set out below are details of our operating revenue generated from each of the industries that we cater to, for the period/ Fiscals indicated:</w:t>
      </w:r>
    </w:p>
    <w:tbl>
      <w:tblPr>
        <w:tblStyle w:val="Table"/>
        <w:tblW w:type="pct" w:w="5000"/>
        <w:tblLook w:firstRow="0" w:lastRow="0" w:firstColumn="0" w:lastColumn="0" w:noHBand="0" w:noVBand="0" w:val="0000"/>
        <w:jc w:val="start"/>
      </w:tblPr>
      <w:tblGrid>
        <w:gridCol w:w="879"/>
        <w:gridCol w:w="879"/>
        <w:gridCol w:w="879"/>
        <w:gridCol w:w="879"/>
        <w:gridCol w:w="879"/>
        <w:gridCol w:w="879"/>
        <w:gridCol w:w="879"/>
        <w:gridCol w:w="879"/>
        <w:gridCol w:w="879"/>
      </w:tblGrid>
      <w:tr>
        <w:tc>
          <w:tcPr/>
          <w:p>
            <w:pPr>
              <w:pStyle w:val="Compact"/>
              <w:jc w:val="center"/>
            </w:pPr>
            <w:r>
              <w:t xml:space="preserve">End-user industry</w:t>
            </w:r>
          </w:p>
        </w:tc>
        <w:tc>
          <w:tcPr/>
          <w:p>
            <w:pPr>
              <w:pStyle w:val="Compact"/>
              <w:jc w:val="center"/>
            </w:pPr>
            <w:r>
              <w:t xml:space="preserve">Three-month period ended June 30, 2025</w:t>
            </w:r>
          </w:p>
        </w:tc>
        <w:tc>
          <w:tcPr/>
          <w:p>
            <w:pPr>
              <w:pStyle w:val="Compact"/>
              <w:jc w:val="center"/>
            </w:pPr>
            <w:r>
              <w:t xml:space="preserve">Fiscal 2025</w:t>
            </w:r>
          </w:p>
        </w:tc>
        <w:tc>
          <w:tcPr/>
          <w:p>
            <w:pPr>
              <w:pStyle w:val="Compact"/>
              <w:jc w:val="center"/>
            </w:pPr>
            <w:r>
              <w:t xml:space="preserve">Fiscal 2024</w:t>
            </w:r>
          </w:p>
        </w:tc>
        <w:tc>
          <w:tcPr/>
          <w:p>
            <w:pPr>
              <w:pStyle w:val="Compact"/>
              <w:jc w:val="center"/>
            </w:pPr>
            <w:r>
              <w:t xml:space="preserve">Fiscal 2023</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Amount (₹ in million)</w:t>
            </w:r>
          </w:p>
        </w:tc>
        <w:tc>
          <w:tcPr/>
          <w:p>
            <w:pPr>
              <w:pStyle w:val="Compact"/>
              <w:jc w:val="center"/>
            </w:pPr>
            <w:r>
              <w:t xml:space="preserve">% of operatingrevenue</w:t>
            </w:r>
          </w:p>
        </w:tc>
        <w:tc>
          <w:tcPr/>
          <w:p>
            <w:pPr>
              <w:pStyle w:val="Compact"/>
              <w:jc w:val="center"/>
            </w:pPr>
            <w:r>
              <w:t xml:space="preserve">Amount (₹ in million)</w:t>
            </w:r>
          </w:p>
        </w:tc>
        <w:tc>
          <w:tcPr/>
          <w:p>
            <w:pPr>
              <w:pStyle w:val="Compact"/>
              <w:jc w:val="center"/>
            </w:pPr>
            <w:r>
              <w:t xml:space="preserve">% of operatingrevenue</w:t>
            </w:r>
          </w:p>
        </w:tc>
        <w:tc>
          <w:tcPr/>
          <w:p>
            <w:pPr>
              <w:pStyle w:val="Compact"/>
              <w:jc w:val="center"/>
            </w:pPr>
            <w:r>
              <w:t xml:space="preserve">Amount (₹ inmillion)</w:t>
            </w:r>
          </w:p>
        </w:tc>
        <w:tc>
          <w:tcPr/>
          <w:p>
            <w:pPr>
              <w:pStyle w:val="Compact"/>
              <w:jc w:val="center"/>
            </w:pPr>
            <w:r>
              <w:t xml:space="preserve">% of operatingrevenue</w:t>
            </w:r>
          </w:p>
        </w:tc>
        <w:tc>
          <w:tcPr/>
          <w:p>
            <w:pPr>
              <w:pStyle w:val="Compact"/>
              <w:jc w:val="center"/>
            </w:pPr>
            <w:r>
              <w:t xml:space="preserve">Amount (₹ in million)</w:t>
            </w:r>
          </w:p>
        </w:tc>
        <w:tc>
          <w:tcPr/>
          <w:p>
            <w:pPr>
              <w:pStyle w:val="Compact"/>
              <w:jc w:val="center"/>
            </w:pPr>
            <w:r>
              <w:t xml:space="preserve">% of operatingrevenue</w:t>
            </w:r>
          </w:p>
        </w:tc>
        <w:tc>
          <w:tcPr/>
          <w:p>
            <w:pPr>
              <w:pStyle w:val="Compact"/>
            </w:pPr>
          </w:p>
        </w:tc>
      </w:tr>
      <w:tr>
        <w:tc>
          <w:tcPr/>
          <w:p>
            <w:pPr>
              <w:pStyle w:val="Compact"/>
              <w:jc w:val="center"/>
            </w:pPr>
            <w:r>
              <w:t xml:space="preserve">Power Sector</w:t>
            </w:r>
          </w:p>
        </w:tc>
        <w:tc>
          <w:tcPr/>
          <w:p>
            <w:pPr>
              <w:pStyle w:val="Compact"/>
              <w:jc w:val="center"/>
            </w:pPr>
            <w:r>
              <w:t xml:space="preserve">3,798.10</w:t>
            </w:r>
          </w:p>
        </w:tc>
        <w:tc>
          <w:tcPr/>
          <w:p>
            <w:pPr>
              <w:pStyle w:val="Compact"/>
              <w:jc w:val="center"/>
            </w:pPr>
            <w:r>
              <w:t xml:space="preserve">71.73%</w:t>
            </w:r>
          </w:p>
        </w:tc>
        <w:tc>
          <w:tcPr/>
          <w:p>
            <w:pPr>
              <w:pStyle w:val="Compact"/>
              <w:jc w:val="center"/>
            </w:pPr>
            <w:r>
              <w:t xml:space="preserve">13,502.66</w:t>
            </w:r>
          </w:p>
        </w:tc>
        <w:tc>
          <w:tcPr/>
          <w:p>
            <w:pPr>
              <w:pStyle w:val="Compact"/>
              <w:jc w:val="center"/>
            </w:pPr>
            <w:r>
              <w:t xml:space="preserve">74.79%</w:t>
            </w:r>
          </w:p>
        </w:tc>
        <w:tc>
          <w:tcPr/>
          <w:p>
            <w:pPr>
              <w:pStyle w:val="Compact"/>
              <w:jc w:val="center"/>
            </w:pPr>
            <w:r>
              <w:t xml:space="preserve">9,642.92</w:t>
            </w:r>
          </w:p>
        </w:tc>
        <w:tc>
          <w:tcPr/>
          <w:p>
            <w:pPr>
              <w:pStyle w:val="Compact"/>
              <w:jc w:val="center"/>
            </w:pPr>
            <w:r>
              <w:t xml:space="preserve">75.17%</w:t>
            </w:r>
          </w:p>
        </w:tc>
        <w:tc>
          <w:tcPr/>
          <w:p>
            <w:pPr>
              <w:pStyle w:val="Compact"/>
              <w:jc w:val="center"/>
            </w:pPr>
            <w:r>
              <w:t xml:space="preserve">7,652.26</w:t>
            </w:r>
          </w:p>
        </w:tc>
        <w:tc>
          <w:tcPr/>
          <w:p>
            <w:pPr>
              <w:pStyle w:val="Compact"/>
              <w:jc w:val="center"/>
            </w:pPr>
            <w:r>
              <w:t xml:space="preserve">79.08%</w:t>
            </w:r>
          </w:p>
        </w:tc>
      </w:tr>
      <w:tr>
        <w:tc>
          <w:tcPr/>
          <w:p>
            <w:pPr>
              <w:pStyle w:val="Compact"/>
              <w:jc w:val="center"/>
            </w:pPr>
            <w:r>
              <w:t xml:space="preserve">Others*</w:t>
            </w:r>
          </w:p>
        </w:tc>
        <w:tc>
          <w:tcPr/>
          <w:p>
            <w:pPr>
              <w:pStyle w:val="Compact"/>
              <w:jc w:val="center"/>
            </w:pPr>
            <w:r>
              <w:t xml:space="preserve">1,496.93</w:t>
            </w:r>
          </w:p>
        </w:tc>
        <w:tc>
          <w:tcPr/>
          <w:p>
            <w:pPr>
              <w:pStyle w:val="Compact"/>
              <w:jc w:val="center"/>
            </w:pPr>
            <w:r>
              <w:t xml:space="preserve">28.27%</w:t>
            </w:r>
          </w:p>
        </w:tc>
        <w:tc>
          <w:tcPr/>
          <w:p>
            <w:pPr>
              <w:pStyle w:val="Compact"/>
              <w:jc w:val="center"/>
            </w:pPr>
            <w:r>
              <w:t xml:space="preserve">4,550.79</w:t>
            </w:r>
          </w:p>
        </w:tc>
        <w:tc>
          <w:tcPr/>
          <w:p>
            <w:pPr>
              <w:pStyle w:val="Compact"/>
              <w:jc w:val="center"/>
            </w:pPr>
            <w:r>
              <w:t xml:space="preserve">25.21%</w:t>
            </w:r>
          </w:p>
        </w:tc>
        <w:tc>
          <w:tcPr/>
          <w:p>
            <w:pPr>
              <w:pStyle w:val="Compact"/>
              <w:jc w:val="center"/>
            </w:pPr>
            <w:r>
              <w:t xml:space="preserve">3,185.92</w:t>
            </w:r>
          </w:p>
        </w:tc>
        <w:tc>
          <w:tcPr/>
          <w:p>
            <w:pPr>
              <w:pStyle w:val="Compact"/>
              <w:jc w:val="center"/>
            </w:pPr>
            <w:r>
              <w:t xml:space="preserve">24.83%</w:t>
            </w:r>
          </w:p>
        </w:tc>
        <w:tc>
          <w:tcPr/>
          <w:p>
            <w:pPr>
              <w:pStyle w:val="Compact"/>
              <w:jc w:val="center"/>
            </w:pPr>
            <w:r>
              <w:t xml:space="preserve">2,023.98</w:t>
            </w:r>
          </w:p>
        </w:tc>
        <w:tc>
          <w:tcPr/>
          <w:p>
            <w:pPr>
              <w:pStyle w:val="Compact"/>
              <w:jc w:val="center"/>
            </w:pPr>
            <w:r>
              <w:t xml:space="preserve">20.92%</w:t>
            </w:r>
          </w:p>
        </w:tc>
      </w:tr>
    </w:tbl>
    <w:p/>
    <w:tbl>
      <w:tblPr>
        <w:tblStyle w:val="Table"/>
        <w:tblW w:type="pct" w:w="5000"/>
        <w:tblLook w:firstRow="0" w:lastRow="0" w:firstColumn="0" w:lastColumn="0" w:noHBand="0" w:noVBand="0" w:val="0000"/>
        <w:jc w:val="start"/>
      </w:tblPr>
      <w:tblGrid>
        <w:gridCol w:w="879"/>
        <w:gridCol w:w="879"/>
        <w:gridCol w:w="879"/>
        <w:gridCol w:w="879"/>
        <w:gridCol w:w="879"/>
        <w:gridCol w:w="879"/>
        <w:gridCol w:w="879"/>
        <w:gridCol w:w="879"/>
        <w:gridCol w:w="879"/>
      </w:tblGrid>
      <w:tr>
        <w:tc>
          <w:tcPr/>
          <w:p>
            <w:pPr>
              <w:pStyle w:val="Compact"/>
              <w:jc w:val="center"/>
            </w:pPr>
            <w:r>
              <w:t xml:space="preserve">End-user industry</w:t>
            </w:r>
          </w:p>
        </w:tc>
        <w:tc>
          <w:tcPr/>
          <w:p>
            <w:pPr>
              <w:pStyle w:val="Compact"/>
              <w:jc w:val="center"/>
            </w:pPr>
            <w:r>
              <w:t xml:space="preserve">Three-month period ended June 30, 2025</w:t>
            </w:r>
          </w:p>
        </w:tc>
        <w:tc>
          <w:tcPr/>
          <w:p>
            <w:pPr>
              <w:pStyle w:val="Compact"/>
              <w:jc w:val="center"/>
            </w:pPr>
            <w:r>
              <w:t xml:space="preserve">Fiscal 2025</w:t>
            </w:r>
          </w:p>
        </w:tc>
        <w:tc>
          <w:tcPr/>
          <w:p>
            <w:pPr>
              <w:pStyle w:val="Compact"/>
              <w:jc w:val="center"/>
            </w:pPr>
            <w:r>
              <w:t xml:space="preserve">Fiscal 2024</w:t>
            </w:r>
          </w:p>
        </w:tc>
        <w:tc>
          <w:tcPr/>
          <w:p>
            <w:pPr>
              <w:pStyle w:val="Compact"/>
              <w:jc w:val="center"/>
            </w:pPr>
            <w:r>
              <w:t xml:space="preserve">Fiscal 2023</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Amount (₹ in million)</w:t>
            </w:r>
          </w:p>
        </w:tc>
        <w:tc>
          <w:tcPr/>
          <w:p>
            <w:pPr>
              <w:pStyle w:val="Compact"/>
              <w:jc w:val="center"/>
            </w:pPr>
            <w:r>
              <w:t xml:space="preserve">% ofoperating revenue</w:t>
            </w:r>
          </w:p>
        </w:tc>
        <w:tc>
          <w:tcPr/>
          <w:p>
            <w:pPr>
              <w:pStyle w:val="Compact"/>
              <w:jc w:val="center"/>
            </w:pPr>
            <w:r>
              <w:t xml:space="preserve">Amount (₹ in million)</w:t>
            </w:r>
          </w:p>
        </w:tc>
        <w:tc>
          <w:tcPr/>
          <w:p>
            <w:pPr>
              <w:pStyle w:val="Compact"/>
              <w:jc w:val="center"/>
            </w:pPr>
            <w:r>
              <w:t xml:space="preserve">% ofoperating revenue</w:t>
            </w:r>
          </w:p>
        </w:tc>
        <w:tc>
          <w:tcPr/>
          <w:p>
            <w:pPr>
              <w:pStyle w:val="Compact"/>
              <w:jc w:val="center"/>
            </w:pPr>
            <w:r>
              <w:t xml:space="preserve">Amount(₹ in million)</w:t>
            </w:r>
          </w:p>
        </w:tc>
        <w:tc>
          <w:tcPr/>
          <w:p>
            <w:pPr>
              <w:pStyle w:val="Compact"/>
              <w:jc w:val="center"/>
            </w:pPr>
            <w:r>
              <w:t xml:space="preserve">% ofoperating revenue</w:t>
            </w:r>
          </w:p>
        </w:tc>
        <w:tc>
          <w:tcPr/>
          <w:p>
            <w:pPr>
              <w:pStyle w:val="Compact"/>
              <w:jc w:val="center"/>
            </w:pPr>
            <w:r>
              <w:t xml:space="preserve">Amount (₹ in million)</w:t>
            </w:r>
          </w:p>
        </w:tc>
        <w:tc>
          <w:tcPr/>
          <w:p>
            <w:pPr>
              <w:pStyle w:val="Compact"/>
              <w:jc w:val="center"/>
            </w:pPr>
            <w:r>
              <w:t xml:space="preserve">% ofoperating revenue</w:t>
            </w:r>
          </w:p>
        </w:tc>
        <w:tc>
          <w:tcPr/>
          <w:p>
            <w:pPr>
              <w:pStyle w:val="Compact"/>
            </w:pPr>
          </w:p>
        </w:tc>
      </w:tr>
      <w:tr>
        <w:tc>
          <w:tcPr/>
          <w:p>
            <w:pPr>
              <w:pStyle w:val="Compact"/>
              <w:jc w:val="center"/>
            </w:pPr>
            <w:r>
              <w:t xml:space="preserve">Total#</w:t>
            </w:r>
          </w:p>
        </w:tc>
        <w:tc>
          <w:tcPr/>
          <w:p>
            <w:pPr>
              <w:pStyle w:val="Compact"/>
              <w:jc w:val="center"/>
            </w:pPr>
            <w:r>
              <w:t xml:space="preserve">5,295.03</w:t>
            </w:r>
          </w:p>
        </w:tc>
        <w:tc>
          <w:tcPr/>
          <w:p>
            <w:pPr>
              <w:pStyle w:val="Compact"/>
              <w:jc w:val="center"/>
            </w:pPr>
            <w:r>
              <w:t xml:space="preserve">100.00%</w:t>
            </w:r>
          </w:p>
        </w:tc>
        <w:tc>
          <w:tcPr/>
          <w:p>
            <w:pPr>
              <w:pStyle w:val="Compact"/>
              <w:jc w:val="center"/>
            </w:pPr>
            <w:r>
              <w:t xml:space="preserve">18,053.45</w:t>
            </w:r>
          </w:p>
        </w:tc>
        <w:tc>
          <w:tcPr/>
          <w:p>
            <w:pPr>
              <w:pStyle w:val="Compact"/>
              <w:jc w:val="center"/>
            </w:pPr>
            <w:r>
              <w:t xml:space="preserve">100.00%</w:t>
            </w:r>
          </w:p>
        </w:tc>
        <w:tc>
          <w:tcPr/>
          <w:p>
            <w:pPr>
              <w:pStyle w:val="Compact"/>
              <w:jc w:val="center"/>
            </w:pPr>
            <w:r>
              <w:t xml:space="preserve">12,828.84</w:t>
            </w:r>
          </w:p>
        </w:tc>
        <w:tc>
          <w:tcPr/>
          <w:p>
            <w:pPr>
              <w:pStyle w:val="Compact"/>
              <w:jc w:val="center"/>
            </w:pPr>
            <w:r>
              <w:t xml:space="preserve">100.00%</w:t>
            </w:r>
          </w:p>
        </w:tc>
        <w:tc>
          <w:tcPr/>
          <w:p>
            <w:pPr>
              <w:pStyle w:val="Compact"/>
              <w:jc w:val="center"/>
            </w:pPr>
            <w:r>
              <w:t xml:space="preserve">9,676.24</w:t>
            </w:r>
          </w:p>
        </w:tc>
        <w:tc>
          <w:tcPr/>
          <w:p>
            <w:pPr>
              <w:pStyle w:val="Compact"/>
              <w:jc w:val="center"/>
            </w:pPr>
            <w:r>
              <w:t xml:space="preserve">100.00%</w:t>
            </w:r>
          </w:p>
        </w:tc>
      </w:tr>
    </w:tbl>
    <w:p>
      <w:pPr>
        <w:pStyle w:val="BodyText"/>
      </w:pPr>
      <w:r>
        <w:t xml:space="preserve">* Others include industrials, automotives (EV and ICE), home appliances, refrigeration and air conditioning.</w:t>
      </w:r>
    </w:p>
    <w:p>
      <w:pPr>
        <w:pStyle w:val="BodyText"/>
      </w:pPr>
      <w:r>
        <w:t xml:space="preserve"># Excludes other operating income including income from scrap and income from remission of duties and taxes on export products.</w:t>
      </w:r>
    </w:p>
    <w:p>
      <w:pPr>
        <w:pStyle w:val="BodyText"/>
      </w:pPr>
      <w:r>
        <w:t xml:space="preserve">Any downturn or negative trends in the Power Sector due to reasons such as consumer demand, consumer confidence, changes in national and international trade policies, imposition of tariffs, sanctions by countries on input materials, changes in government policies, environmental regulations, and commodity prices, could result in loss of business or reduction in the volume of business from customers operating in these industries. While there has not been significant reduction in demand from the Power Sector in the three-month period ended June 30, 2025, and the Fiscals 2025, 2024 and 2023, there can be no assurance that there will not be any such reduction in future. Further, there can be no assurance that any instance of economic cyclicality, significant reduction in demand or negative trends in Power Sector will not occur in the future, which may impact our sales and in turn adversely affect our business, financial condition, cash flows and results of operations.</w:t>
      </w:r>
    </w:p>
    <w:p>
      <w:pPr>
        <w:pStyle w:val="BodyText"/>
      </w:pPr>
      <w:r>
        <w:t xml:space="preserve">We derive a substantial portion of our revenue (more than 70% in each of the three-month period ended June 30, 2025, and Fiscals 2025, 2024 and 2023) from the sale of specialized magnet winding wires. Any reduction in demand for our key products would have a material adverse effect on our business, financial condition, results of operations and cash flows.</w:t>
      </w:r>
    </w:p>
    <w:p>
      <w:pPr>
        <w:pStyle w:val="BodyText"/>
      </w:pPr>
      <w:r>
        <w:t xml:space="preserve">We significantly rely on revenue generated from specialized magnet winding wires. The specialized magnet winding wires that we manufacture are primarily used in transformers, generators, and power (generation, transmission and distribution). The table below sets out the revenues generated from sales of our key product segments i.e., specialised and standard magnet winding wires as a percentage of our operating revenue:</w:t>
      </w:r>
    </w:p>
    <w:tbl>
      <w:tblPr>
        <w:tblStyle w:val="Table"/>
        <w:tblW w:type="pct" w:w="5000"/>
        <w:tblLook w:firstRow="0" w:lastRow="0" w:firstColumn="0" w:lastColumn="0" w:noHBand="0" w:noVBand="0" w:val="0000"/>
        <w:jc w:val="start"/>
      </w:tblPr>
      <w:tblGrid>
        <w:gridCol w:w="879"/>
        <w:gridCol w:w="879"/>
        <w:gridCol w:w="879"/>
        <w:gridCol w:w="879"/>
        <w:gridCol w:w="879"/>
        <w:gridCol w:w="879"/>
        <w:gridCol w:w="879"/>
        <w:gridCol w:w="879"/>
        <w:gridCol w:w="879"/>
      </w:tblGrid>
      <w:tr>
        <w:tc>
          <w:tcPr/>
          <w:p>
            <w:pPr>
              <w:pStyle w:val="Compact"/>
              <w:jc w:val="center"/>
            </w:pPr>
            <w:r>
              <w:t xml:space="preserve">Products</w:t>
            </w:r>
          </w:p>
        </w:tc>
        <w:tc>
          <w:tcPr/>
          <w:p>
            <w:pPr>
              <w:pStyle w:val="Compact"/>
              <w:jc w:val="center"/>
            </w:pPr>
            <w:r>
              <w:t xml:space="preserve">Three-month period ended June 30, 2025</w:t>
            </w:r>
          </w:p>
        </w:tc>
        <w:tc>
          <w:tcPr/>
          <w:p>
            <w:pPr>
              <w:pStyle w:val="Compact"/>
              <w:jc w:val="center"/>
            </w:pPr>
            <w:r>
              <w:t xml:space="preserve">Fiscal 2025</w:t>
            </w:r>
          </w:p>
        </w:tc>
        <w:tc>
          <w:tcPr/>
          <w:p>
            <w:pPr>
              <w:pStyle w:val="Compact"/>
              <w:jc w:val="center"/>
            </w:pPr>
            <w:r>
              <w:t xml:space="preserve">Fiscal 2024</w:t>
            </w:r>
          </w:p>
        </w:tc>
        <w:tc>
          <w:tcPr/>
          <w:p>
            <w:pPr>
              <w:pStyle w:val="Compact"/>
              <w:jc w:val="center"/>
            </w:pPr>
            <w:r>
              <w:t xml:space="preserve">Fiscal 2023</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Amount (₹in million)</w:t>
            </w:r>
          </w:p>
        </w:tc>
        <w:tc>
          <w:tcPr/>
          <w:p>
            <w:pPr>
              <w:pStyle w:val="Compact"/>
              <w:jc w:val="center"/>
            </w:pPr>
            <w:r>
              <w:t xml:space="preserve">% ofoperating revenue</w:t>
            </w:r>
          </w:p>
        </w:tc>
        <w:tc>
          <w:tcPr/>
          <w:p>
            <w:pPr>
              <w:pStyle w:val="Compact"/>
              <w:jc w:val="center"/>
            </w:pPr>
            <w:r>
              <w:t xml:space="preserve">Amount (₹in million)</w:t>
            </w:r>
          </w:p>
        </w:tc>
        <w:tc>
          <w:tcPr/>
          <w:p>
            <w:pPr>
              <w:pStyle w:val="Compact"/>
              <w:jc w:val="center"/>
            </w:pPr>
            <w:r>
              <w:t xml:space="preserve">% ofoperating revenue</w:t>
            </w:r>
          </w:p>
        </w:tc>
        <w:tc>
          <w:tcPr/>
          <w:p>
            <w:pPr>
              <w:pStyle w:val="Compact"/>
              <w:jc w:val="center"/>
            </w:pPr>
            <w:r>
              <w:t xml:space="preserve">Amount (₹in million)</w:t>
            </w:r>
          </w:p>
        </w:tc>
        <w:tc>
          <w:tcPr/>
          <w:p>
            <w:pPr>
              <w:pStyle w:val="Compact"/>
              <w:jc w:val="center"/>
            </w:pPr>
            <w:r>
              <w:t xml:space="preserve">% ofoperating revenue</w:t>
            </w:r>
          </w:p>
        </w:tc>
        <w:tc>
          <w:tcPr/>
          <w:p>
            <w:pPr>
              <w:pStyle w:val="Compact"/>
              <w:jc w:val="center"/>
            </w:pPr>
            <w:r>
              <w:t xml:space="preserve">Amount (₹in million)</w:t>
            </w:r>
          </w:p>
        </w:tc>
        <w:tc>
          <w:tcPr/>
          <w:p>
            <w:pPr>
              <w:pStyle w:val="Compact"/>
              <w:jc w:val="center"/>
            </w:pPr>
            <w:r>
              <w:t xml:space="preserve">% ofoperating revenue</w:t>
            </w:r>
          </w:p>
        </w:tc>
        <w:tc>
          <w:tcPr/>
          <w:p>
            <w:pPr>
              <w:pStyle w:val="Compact"/>
            </w:pPr>
          </w:p>
        </w:tc>
      </w:tr>
      <w:tr>
        <w:tc>
          <w:tcPr/>
          <w:p>
            <w:pPr>
              <w:pStyle w:val="Compact"/>
              <w:jc w:val="center"/>
            </w:pPr>
            <w:r>
              <w:t xml:space="preserve">Specialized magnet winding wires</w:t>
            </w:r>
          </w:p>
        </w:tc>
        <w:tc>
          <w:tcPr/>
          <w:p>
            <w:pPr>
              <w:pStyle w:val="Compact"/>
              <w:jc w:val="center"/>
            </w:pPr>
            <w:r>
              <w:t xml:space="preserve">3,798.10</w:t>
            </w:r>
          </w:p>
        </w:tc>
        <w:tc>
          <w:tcPr/>
          <w:p>
            <w:pPr>
              <w:pStyle w:val="Compact"/>
              <w:jc w:val="center"/>
            </w:pPr>
            <w:r>
              <w:t xml:space="preserve">71.73%</w:t>
            </w:r>
          </w:p>
        </w:tc>
        <w:tc>
          <w:tcPr/>
          <w:p>
            <w:pPr>
              <w:pStyle w:val="Compact"/>
              <w:jc w:val="center"/>
            </w:pPr>
            <w:r>
              <w:t xml:space="preserve">13,502.66</w:t>
            </w:r>
          </w:p>
        </w:tc>
        <w:tc>
          <w:tcPr/>
          <w:p>
            <w:pPr>
              <w:pStyle w:val="Compact"/>
              <w:jc w:val="center"/>
            </w:pPr>
            <w:r>
              <w:t xml:space="preserve">74.79%</w:t>
            </w:r>
          </w:p>
        </w:tc>
        <w:tc>
          <w:tcPr/>
          <w:p>
            <w:pPr>
              <w:pStyle w:val="Compact"/>
              <w:jc w:val="center"/>
            </w:pPr>
            <w:r>
              <w:t xml:space="preserve">9,642.92</w:t>
            </w:r>
          </w:p>
        </w:tc>
        <w:tc>
          <w:tcPr/>
          <w:p>
            <w:pPr>
              <w:pStyle w:val="Compact"/>
              <w:jc w:val="center"/>
            </w:pPr>
            <w:r>
              <w:t xml:space="preserve">75.17%</w:t>
            </w:r>
          </w:p>
        </w:tc>
        <w:tc>
          <w:tcPr/>
          <w:p>
            <w:pPr>
              <w:pStyle w:val="Compact"/>
              <w:jc w:val="center"/>
            </w:pPr>
            <w:r>
              <w:t xml:space="preserve">7,652.26</w:t>
            </w:r>
          </w:p>
        </w:tc>
        <w:tc>
          <w:tcPr/>
          <w:p>
            <w:pPr>
              <w:pStyle w:val="Compact"/>
              <w:jc w:val="center"/>
            </w:pPr>
            <w:r>
              <w:t xml:space="preserve">79.08%</w:t>
            </w:r>
          </w:p>
        </w:tc>
      </w:tr>
      <w:tr>
        <w:tc>
          <w:tcPr/>
          <w:p>
            <w:pPr>
              <w:pStyle w:val="Compact"/>
              <w:jc w:val="center"/>
            </w:pPr>
            <w:r>
              <w:t xml:space="preserve">Standard magnet winding wires</w:t>
            </w:r>
          </w:p>
        </w:tc>
        <w:tc>
          <w:tcPr/>
          <w:p>
            <w:pPr>
              <w:pStyle w:val="Compact"/>
              <w:jc w:val="center"/>
            </w:pPr>
            <w:r>
              <w:t xml:space="preserve">1,496.93</w:t>
            </w:r>
          </w:p>
        </w:tc>
        <w:tc>
          <w:tcPr/>
          <w:p>
            <w:pPr>
              <w:pStyle w:val="Compact"/>
              <w:jc w:val="center"/>
            </w:pPr>
            <w:r>
              <w:t xml:space="preserve">28.27%</w:t>
            </w:r>
          </w:p>
        </w:tc>
        <w:tc>
          <w:tcPr/>
          <w:p>
            <w:pPr>
              <w:pStyle w:val="Compact"/>
              <w:jc w:val="center"/>
            </w:pPr>
            <w:r>
              <w:t xml:space="preserve">4,550.79</w:t>
            </w:r>
          </w:p>
        </w:tc>
        <w:tc>
          <w:tcPr/>
          <w:p>
            <w:pPr>
              <w:pStyle w:val="Compact"/>
              <w:jc w:val="center"/>
            </w:pPr>
            <w:r>
              <w:t xml:space="preserve">25.21%</w:t>
            </w:r>
          </w:p>
        </w:tc>
        <w:tc>
          <w:tcPr/>
          <w:p>
            <w:pPr>
              <w:pStyle w:val="Compact"/>
              <w:jc w:val="center"/>
            </w:pPr>
            <w:r>
              <w:t xml:space="preserve">3,185.92</w:t>
            </w:r>
          </w:p>
        </w:tc>
        <w:tc>
          <w:tcPr/>
          <w:p>
            <w:pPr>
              <w:pStyle w:val="Compact"/>
              <w:jc w:val="center"/>
            </w:pPr>
            <w:r>
              <w:t xml:space="preserve">24.82%</w:t>
            </w:r>
          </w:p>
        </w:tc>
        <w:tc>
          <w:tcPr/>
          <w:p>
            <w:pPr>
              <w:pStyle w:val="Compact"/>
              <w:jc w:val="center"/>
            </w:pPr>
            <w:r>
              <w:t xml:space="preserve">2,023.98</w:t>
            </w:r>
          </w:p>
        </w:tc>
        <w:tc>
          <w:tcPr/>
          <w:p>
            <w:pPr>
              <w:pStyle w:val="Compact"/>
              <w:jc w:val="center"/>
            </w:pPr>
            <w:r>
              <w:t xml:space="preserve">20.92%</w:t>
            </w:r>
          </w:p>
        </w:tc>
      </w:tr>
      <w:tr>
        <w:tc>
          <w:tcPr/>
          <w:p>
            <w:pPr>
              <w:pStyle w:val="Compact"/>
              <w:jc w:val="center"/>
            </w:pPr>
            <w:r>
              <w:t xml:space="preserve">Total</w:t>
            </w:r>
          </w:p>
        </w:tc>
        <w:tc>
          <w:tcPr/>
          <w:p>
            <w:pPr>
              <w:pStyle w:val="Compact"/>
              <w:jc w:val="center"/>
            </w:pPr>
            <w:r>
              <w:t xml:space="preserve">5,295.03</w:t>
            </w:r>
          </w:p>
        </w:tc>
        <w:tc>
          <w:tcPr/>
          <w:p>
            <w:pPr>
              <w:pStyle w:val="Compact"/>
              <w:jc w:val="center"/>
            </w:pPr>
            <w:r>
              <w:t xml:space="preserve">100.00%</w:t>
            </w:r>
          </w:p>
        </w:tc>
        <w:tc>
          <w:tcPr/>
          <w:p>
            <w:pPr>
              <w:pStyle w:val="Compact"/>
              <w:jc w:val="center"/>
            </w:pPr>
            <w:r>
              <w:t xml:space="preserve">18,053.45</w:t>
            </w:r>
          </w:p>
        </w:tc>
        <w:tc>
          <w:tcPr/>
          <w:p>
            <w:pPr>
              <w:pStyle w:val="Compact"/>
              <w:jc w:val="center"/>
            </w:pPr>
            <w:r>
              <w:t xml:space="preserve">100.00%</w:t>
            </w:r>
          </w:p>
        </w:tc>
        <w:tc>
          <w:tcPr/>
          <w:p>
            <w:pPr>
              <w:pStyle w:val="Compact"/>
              <w:jc w:val="center"/>
            </w:pPr>
            <w:r>
              <w:t xml:space="preserve">12,828.84</w:t>
            </w:r>
          </w:p>
        </w:tc>
        <w:tc>
          <w:tcPr/>
          <w:p>
            <w:pPr>
              <w:pStyle w:val="Compact"/>
              <w:jc w:val="center"/>
            </w:pPr>
            <w:r>
              <w:t xml:space="preserve">100.00%</w:t>
            </w:r>
          </w:p>
        </w:tc>
        <w:tc>
          <w:tcPr/>
          <w:p>
            <w:pPr>
              <w:pStyle w:val="Compact"/>
              <w:jc w:val="center"/>
            </w:pPr>
            <w:r>
              <w:t xml:space="preserve">9,676.24</w:t>
            </w:r>
          </w:p>
        </w:tc>
        <w:tc>
          <w:tcPr/>
          <w:p>
            <w:pPr>
              <w:pStyle w:val="Compact"/>
              <w:jc w:val="center"/>
            </w:pPr>
            <w:r>
              <w:t xml:space="preserve">100.00%</w:t>
            </w:r>
          </w:p>
        </w:tc>
      </w:tr>
    </w:tbl>
    <w:p>
      <w:pPr>
        <w:pStyle w:val="BodyText"/>
      </w:pPr>
      <w:r>
        <w:t xml:space="preserve">While we have not experienced any material sustained decline in the sale of our key products in the three-month period ended June 30, 2025, and the Fiscals 2025, 2024, and 2023, there is no assurance that we will not face any decline in the future. Any failure to successfully manufacture and market specialized magnet winding wires, whether on account of regulatory changes or changes in technologies, including creation of alternate technologies, or otherwise could adversely affect our business, financial condition, cash flows and results of operations.</w:t>
      </w:r>
    </w:p>
    <w:p>
      <w:pPr>
        <w:pStyle w:val="BodyText"/>
      </w:pPr>
      <w:r>
        <w:t xml:space="preserve">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Text"/>
      </w:pPr>
      <w:r>
        <w:t xml:space="preserve">We intend to utilize portions of the Net Proceeds for funding capital expenditure requirements for (i) funding the capital expenditure requirements of our Company towards purchasing and setting up of new machinery for expansion at our Mary Walker; (ii) funding the capital expenditure requirements of our Company towards purchasing and setting up of a rooftop solar power plant for power generation at our Mary Walker; and (iii) funding the capital expenditure requirements of our Company towards purchasing and setting up of new machinery at Unit 2 in Chakan, Pune in Maharashtra (collectively,</w:t>
      </w:r>
      <w:r>
        <w:t xml:space="preserve"> </w:t>
      </w:r>
      <w:r>
        <w:t xml:space="preserve">“</w:t>
      </w:r>
      <w:r>
        <w:t xml:space="preserve">Proposed Capital Expenditure</w:t>
      </w:r>
      <w:r>
        <w:t xml:space="preserve">”</w:t>
      </w:r>
      <w:r>
        <w:t xml:space="preserve">). While we have procured quotations from various vendors in relation to the capital expenditure to be incurred for the Proposed Capital Expenditure, we have not placed any firm orders for certain of them. For details in respect of the foregoing, see</w:t>
      </w:r>
      <w:r>
        <w:t xml:space="preserve"> </w:t>
      </w:r>
      <w:r>
        <w:t xml:space="preserve">“</w:t>
      </w:r>
      <w:r>
        <w:t xml:space="preserve">Objects of the Offer</w:t>
      </w:r>
      <w:r>
        <w:t xml:space="preserve">”</w:t>
      </w:r>
      <w:r>
        <w:t xml:space="preserve"> </w:t>
      </w:r>
      <w:r>
        <w:t xml:space="preserve">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the Net Proceeds.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the Proposed Capital Expenditure, for</w:t>
      </w:r>
    </w:p>
    <w:p>
      <w:pPr>
        <w:pStyle w:val="BodyText"/>
      </w:pPr>
      <w:r>
        <w:t xml:space="preserve">which our Company has already placed purchase orders, may not be delivered within the expected time, or at all, and may impact the time and cost estimates of our Globex Inc.</w:t>
      </w:r>
    </w:p>
    <w:p>
      <w:pPr>
        <w:pStyle w:val="BodyText"/>
      </w:pPr>
      <w:r>
        <w:t xml:space="preserve">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 Globex Inc and ancillary items or avail services from the vendors from whom we have procured quotations, we cannot assure you that we may be able to identify alternative vendors to provide us with the similar kind of items for Globex Inc and ancillary items and services, which satisfy our requirements at acceptable prices. Our inability to procure the items for Globex Inc at acceptable prices or in a timely manner, may result in an increase in capital expenditure, extension or variation in the proposed schedule of implementation and deployment of the Net Proceeds, thereby resulting in an adverse effect on our business operations, financial condition, cash flows and results of operations.</w:t>
      </w:r>
    </w:p>
    <w:p>
      <w:pPr>
        <w:pStyle w:val="BodyText"/>
      </w:pPr>
      <w:r>
        <w:t xml:space="preserve">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Text"/>
      </w:pPr>
      <w:r>
        <w:t xml:space="preserve">Our business is dependent upon our ability to efficiently manage our manufacturing facilities, and the operational risks associated with it, including those beyond our control. As of the date of this Red Herring Prospectus, we have three operational manufacturing facilities in India. For details in relation to our manufacturing facilities, and their capacity utilization, see</w:t>
      </w:r>
      <w:r>
        <w:t xml:space="preserve"> </w:t>
      </w:r>
      <w:r>
        <w:t xml:space="preserve">“</w:t>
      </w:r>
      <w:r>
        <w:t xml:space="preserve">Our Business – Manufacturing Facilities</w:t>
      </w:r>
      <w:r>
        <w:t xml:space="preserve">”</w:t>
      </w:r>
      <w:r>
        <w:t xml:space="preserve"> </w:t>
      </w:r>
      <w:r>
        <w:t xml:space="preserve">and</w:t>
      </w:r>
      <w:r>
        <w:t xml:space="preserve"> </w:t>
      </w:r>
      <w:r>
        <w:t xml:space="preserve">“</w:t>
      </w:r>
      <w:r>
        <w:t xml:space="preserve">Our Business – Capacity and Capacity Utilization</w:t>
      </w:r>
      <w:r>
        <w:t xml:space="preserve">”</w:t>
      </w:r>
      <w:r>
        <w:t xml:space="preserve"> </w:t>
      </w:r>
      <w:r>
        <w:t xml:space="preserve">on pages 229 and 230, respectively. Any unscheduled, unplanned or prolonged disruption in our manufacturing facilities may result in delays or shutdowns of our production activities. While we perform regular scheduled and unscheduled maintenance services and employ other systems and processes such as power backups, employee training and productivity monitoring at each of our manufacturing facilities, these facilities are subject to various operating risks, such as the breakdown or failure of equipment, power supply or processes, productivity of our workforce, performance below expected levels of efficiency, obsolescence of equipment or machinery, timely availability of raw materials, labour disputes, strikes, natural disasters, industrial accidents, fire, severe weather conditions, any significant social, political or economic disturbances and infectious disease outbreaks resulting in unplanned slowdowns and/or shutdowns and the need to comply with the directives of relevant government and regulatory authorities. Our inability to effectively respond to any breakdown, shutdown or to rectify any disruption, in a timely manner and at an acceptable cost, could lead to an adverse effect on our business, financial condition, cash flows and results of operations. While there has not been any breakdown, unscheduled, unplanned or prolonged disruption, slowdown or shutdown of our manufacturing facilities which had material adverse effect on the business, financial condition, cash flows and results of operations of our Company during the three-month period ended June 30, 2025, or Fiscals 2025, 2024, and 2023, we cannot assure that there will not be any breakdowns in future.</w:t>
      </w:r>
    </w:p>
    <w:p>
      <w:pPr>
        <w:pStyle w:val="BodyText"/>
      </w:pPr>
      <w:r>
        <w:t xml:space="preserve">Further, we run the risk of an industrial action by our unionized non-managerial employees. Our non-managerial staff are organized in a registered trade union through which we negotiate the terms and conditions of their compensation and the redressal of their grievances. For details in relation to memorandum of settlement with the KSH International Chakan Internal Kamgar Sangathna, see</w:t>
      </w:r>
      <w:r>
        <w:t xml:space="preserve"> </w:t>
      </w:r>
      <w:r>
        <w:t xml:space="preserve">“</w:t>
      </w:r>
      <w:r>
        <w:t xml:space="preserve">Our Business – Human Resources</w:t>
      </w:r>
      <w:r>
        <w:t xml:space="preserve">”</w:t>
      </w:r>
      <w:r>
        <w:t xml:space="preserve"> </w:t>
      </w:r>
      <w:r>
        <w:t xml:space="preserve">on page 235. In addition, we may be subject to manufacturing disruptions due to contraventions by us of any of the conditions of our regulatory 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 there can be no assurance that such instances will not occur in the future, and any such disruption may result in delays or shutdown of our manufacturing activities which may adversely affect our business, financial condition, cash flows and results of operations.</w:t>
      </w:r>
    </w:p>
    <w:p>
      <w:pPr>
        <w:pStyle w:val="BodyText"/>
      </w:pPr>
      <w:r>
        <w:t xml:space="preserve">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Text"/>
      </w:pPr>
      <w:r>
        <w:t xml:space="preserve">Our manufacturing unit at Supa, Ahilyanagar (formerly Ahmednagar) in Maharashtra was originally anticipated to commence operations by March 31, 2025, however, we have experienced delays in setting up our Umbrella Ltd and operations have commenced in September 2025. Further, the enhancement in the annual installed capacity from 8,800 MT to 12,000 MT at our manufacturing unit at Supa, Ahilyanagar,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our Umbrella Ltd in the future on account of several factors, including delays in receiving governmental, statutory, and other regulatory approvals and permits, and delays in or non-delivery of construction equipment by suppliers, among others.</w:t>
      </w:r>
    </w:p>
    <w:p>
      <w:pPr>
        <w:pStyle w:val="BodyText"/>
      </w:pPr>
      <w:r>
        <w:t xml:space="preserve">Additionally, an amount of ₹ 783.77 million from the Net Proceeds is intended to be utilised towards the Phase II Expansion at our Mary Walker. For further details, see</w:t>
      </w:r>
      <w:r>
        <w:t xml:space="preserve"> </w:t>
      </w:r>
      <w:r>
        <w:t xml:space="preserve">“</w:t>
      </w:r>
      <w:r>
        <w:t xml:space="preserve">Objects of the Offer – Funding the capital expenditure requirements of our Company towards: (i) purchasing and setting up of new machinery for expansion at our Umbrella Ltd (“Phase II Expansion at our Supa Facility</w:t>
      </w:r>
      <w:r>
        <w:t xml:space="preserve">”</w:t>
      </w:r>
      <w:r>
        <w:t xml:space="preserve">); and (ii) purchasing and setting up of new machinery at Unit 2 in Chakan, Pune in Maharashtra” on page 114. Any failure to complete the Phase II Expansion of this facility in a timely manner, and within budget, or at all, and any failure of receipt of the required approvals required for operation of the Supa Facility, could have an adverse impact on our business, results of operations, financial condition, and cash flows.</w:t>
      </w:r>
    </w:p>
    <w:p>
      <w:pPr>
        <w:pStyle w:val="BodyText"/>
      </w:pPr>
      <w:r>
        <w:t xml:space="preserve">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Text"/>
      </w:pPr>
      <w:r>
        <w:t xml:space="preserve">We face an inherent business risk of exposure to product defects and subsequent liability claims if the use of any of our products results in personal injury or property damage. We and our component suppliers may not be able to meet regulatory quality standards in India or abroad, or the quality standards imposed by our customers and applicable to our manufacturing processes, 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 checks, accreditation requirements, and periodic inspections from various regulatory agencies that have issued us product and system certifications. If any of our products do not meet regulatory standards or are defective, we may be, inter alia, (i) responsible for damages relating to any defective products, (ii) required to replace, recall or redesign such products, (iii) incur significant costs to defend any such claims or (iv) restricted to produce or market such products to our customers.</w:t>
      </w:r>
    </w:p>
    <w:p>
      <w:pPr>
        <w:pStyle w:val="BodyText"/>
      </w:pPr>
      <w:r>
        <w:t xml:space="preserve">While there have not been any material product liability claims made against our products or any cancellation of existing or future orders, during the three-month period ended June 30, 2025, or Fiscals 2025, 2024 and 2023, resulting in a material adverse impact on our business, financial condition, results of operations and cash flows, there can be no assurance that we will not face any product liability claims or cancellation of existing or future orders in the future. The quality of raw materials and the goods we trade in will have an impact on the quality of the finished products and in turn affect our brand image, business and revenue. There is no assurance that our products will always meet the satisfaction of our customers’ quality standards. Certain customers may also conduct pre-qualification evaluations before placing their first orders. Our or our supplier’s failure to comply with applicable regulations could cause adverse consequences to be imposed on us, including warning letters, fines, injunctions, civil penalties, the refusal of 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 standards of our customers. Further, there can be no assurance that if we need to engage new suppliers to satisfy our business requirement, we will be able locate new suppliers in compliance with regulatory requirements in a timely manner, or at all. Failure to do so could lead to the cancellation of existing and future orders and have a material adverse effect on our business and revenue.</w:t>
      </w:r>
    </w:p>
    <w:p>
      <w:pPr>
        <w:pStyle w:val="BodyText"/>
      </w:pPr>
      <w:r>
        <w:t xml:space="preserve">We are an approved supplier of empaneled PICC and CTC for certain entities, and are required to undergo stringent pre-qualification requirements imposed by corporate, state, central government, and international organizations during their procurement processes. We have received approvals for our products from certain organisations who are the ultimate end-users of transformers and reactors. For further details, please see</w:t>
      </w:r>
      <w:r>
        <w:t xml:space="preserve"> </w:t>
      </w:r>
      <w:r>
        <w:t xml:space="preserve">“</w:t>
      </w:r>
      <w:r>
        <w:t xml:space="preserve">Our Business – Overview</w:t>
      </w:r>
      <w:r>
        <w:t xml:space="preserve">”</w:t>
      </w:r>
      <w:r>
        <w:t xml:space="preserve"> </w:t>
      </w:r>
      <w:r>
        <w:t xml:space="preserve">on page</w:t>
      </w:r>
    </w:p>
    <w:p>
      <w:pPr>
        <w:pStyle w:val="BodyText"/>
      </w:pPr>
      <w:r>
        <w:t xml:space="preserve">211. While there has not been any non-compliance with the quality standards of our customers during the three-month period ended June 30, 2025, or Fiscals 2025, 2024 and 2023, we cannot assure you that any future non-compliance</w:t>
      </w:r>
    </w:p>
    <w:p>
      <w:pPr>
        <w:pStyle w:val="BodyText"/>
      </w:pPr>
      <w:r>
        <w:t xml:space="preserve">with quality standards will not result in a material adverse effect on our business, financial condition, results of operations, cash flows and prospects.</w:t>
      </w:r>
    </w:p>
    <w:p>
      <w:pPr>
        <w:pStyle w:val="BodyText"/>
      </w:pPr>
      <w:r>
        <w:t xml:space="preserve">For details of our certifications and accreditations, see</w:t>
      </w:r>
      <w:r>
        <w:t xml:space="preserve"> </w:t>
      </w:r>
      <w:r>
        <w:t xml:space="preserve">“</w:t>
      </w:r>
      <w:r>
        <w:t xml:space="preserve">Our Business - Description of our Business - Quality Control, Services, Packaging and Certifications</w:t>
      </w:r>
      <w:r>
        <w:t xml:space="preserve">”</w:t>
      </w:r>
      <w:r>
        <w:t xml:space="preserve"> </w:t>
      </w:r>
      <w:r>
        <w:t xml:space="preserve">on page 233. Our manufacturing facilities and operating processes are also audited by third party auditors. In the event we fail to comply with the requirements of customers in relation to third-party audits, or fail our audits, we may be in breach of our arrangements with certain customers. In the event we are unable to renew our accreditations or comply with the accreditation criteria or if such agencies find that we are not 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 can be no assurance that these instances will not occur in the future. If we lose one or more of our accreditations or certifications, our reputation, business, cash flows and results of operations may be adversely affected.</w:t>
      </w:r>
    </w:p>
    <w:p>
      <w:pPr>
        <w:pStyle w:val="BodyText"/>
      </w:pPr>
      <w:r>
        <w:t xml:space="preserve">We export our products to various countries and our revenue from outside India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p>
    <w:p>
      <w:pPr>
        <w:pStyle w:val="BodyText"/>
      </w:pPr>
      <w:r>
        <w:t xml:space="preserve">We have supplied our products to customers across 24 countries outside India, as of June 30, 2025. The table below sets forth details of the customers served outside India and revenue generated from such customers in the years/ periods indicated:</w:t>
      </w:r>
    </w:p>
    <w:tbl>
      <w:tblPr>
        <w:tblStyle w:val="Table"/>
        <w:tblW w:type="pct" w:w="5000"/>
        <w:tblLook w:firstRow="0" w:lastRow="0" w:firstColumn="0" w:lastColumn="0" w:noHBand="0" w:noVBand="0" w:val="0000"/>
        <w:jc w:val="start"/>
      </w:tblPr>
      <w:tblGrid>
        <w:gridCol w:w="879"/>
        <w:gridCol w:w="879"/>
        <w:gridCol w:w="879"/>
        <w:gridCol w:w="879"/>
        <w:gridCol w:w="879"/>
        <w:gridCol w:w="879"/>
        <w:gridCol w:w="879"/>
        <w:gridCol w:w="879"/>
        <w:gridCol w:w="879"/>
      </w:tblGrid>
      <w:tr>
        <w:tc>
          <w:tcPr/>
          <w:p>
            <w:pPr>
              <w:pStyle w:val="Compact"/>
              <w:jc w:val="center"/>
            </w:pPr>
            <w:r>
              <w:t xml:space="preserve">Particulars</w:t>
            </w:r>
          </w:p>
        </w:tc>
        <w:tc>
          <w:tcPr/>
          <w:p>
            <w:pPr>
              <w:pStyle w:val="Compact"/>
              <w:jc w:val="center"/>
            </w:pPr>
            <w:r>
              <w:t xml:space="preserve">Three-month period ended June 30, 2025</w:t>
            </w:r>
          </w:p>
        </w:tc>
        <w:tc>
          <w:tcPr/>
          <w:p>
            <w:pPr>
              <w:pStyle w:val="Compact"/>
              <w:jc w:val="center"/>
            </w:pPr>
            <w:r>
              <w:t xml:space="preserve">Fiscal 2025</w:t>
            </w:r>
          </w:p>
        </w:tc>
        <w:tc>
          <w:tcPr/>
          <w:p>
            <w:pPr>
              <w:pStyle w:val="Compact"/>
              <w:jc w:val="center"/>
            </w:pPr>
            <w:r>
              <w:t xml:space="preserve">Fiscal 2024</w:t>
            </w:r>
          </w:p>
        </w:tc>
        <w:tc>
          <w:tcPr/>
          <w:p>
            <w:pPr>
              <w:pStyle w:val="Compact"/>
              <w:jc w:val="center"/>
            </w:pPr>
            <w:r>
              <w:t xml:space="preserve">Fiscal 2023</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Amount(₹ inmillion)</w:t>
            </w:r>
          </w:p>
        </w:tc>
        <w:tc>
          <w:tcPr/>
          <w:p>
            <w:pPr>
              <w:pStyle w:val="Compact"/>
              <w:jc w:val="center"/>
            </w:pPr>
            <w:r>
              <w:t xml:space="preserve">% of sale of products</w:t>
            </w:r>
          </w:p>
        </w:tc>
        <w:tc>
          <w:tcPr/>
          <w:p>
            <w:pPr>
              <w:pStyle w:val="Compact"/>
              <w:jc w:val="center"/>
            </w:pPr>
            <w:r>
              <w:t xml:space="preserve">Amount(₹ inmillion)</w:t>
            </w:r>
          </w:p>
        </w:tc>
        <w:tc>
          <w:tcPr/>
          <w:p>
            <w:pPr>
              <w:pStyle w:val="Compact"/>
              <w:jc w:val="center"/>
            </w:pPr>
            <w:r>
              <w:t xml:space="preserve">% of sale of products</w:t>
            </w:r>
          </w:p>
        </w:tc>
        <w:tc>
          <w:tcPr/>
          <w:p>
            <w:pPr>
              <w:pStyle w:val="Compact"/>
              <w:jc w:val="center"/>
            </w:pPr>
            <w:r>
              <w:t xml:space="preserve">Amount(₹ inmillion)</w:t>
            </w:r>
          </w:p>
        </w:tc>
        <w:tc>
          <w:tcPr/>
          <w:p>
            <w:pPr>
              <w:pStyle w:val="Compact"/>
              <w:jc w:val="center"/>
            </w:pPr>
            <w:r>
              <w:t xml:space="preserve">% of sale of products</w:t>
            </w:r>
          </w:p>
        </w:tc>
        <w:tc>
          <w:tcPr/>
          <w:p>
            <w:pPr>
              <w:pStyle w:val="Compact"/>
              <w:jc w:val="center"/>
            </w:pPr>
            <w:r>
              <w:t xml:space="preserve">Amount(₹ inmillion)</w:t>
            </w:r>
          </w:p>
        </w:tc>
        <w:tc>
          <w:tcPr/>
          <w:p>
            <w:pPr>
              <w:pStyle w:val="Compact"/>
              <w:jc w:val="center"/>
            </w:pPr>
            <w:r>
              <w:t xml:space="preserve">% of sale of products</w:t>
            </w:r>
          </w:p>
        </w:tc>
        <w:tc>
          <w:tcPr/>
          <w:p>
            <w:pPr>
              <w:pStyle w:val="Compact"/>
            </w:pPr>
          </w:p>
        </w:tc>
      </w:tr>
      <w:tr>
        <w:tc>
          <w:tcPr/>
          <w:p>
            <w:pPr>
              <w:pStyle w:val="Compact"/>
              <w:jc w:val="center"/>
            </w:pPr>
            <w:r>
              <w:t xml:space="preserve">Domestic customers</w:t>
            </w:r>
          </w:p>
        </w:tc>
        <w:tc>
          <w:tcPr/>
          <w:p>
            <w:pPr>
              <w:pStyle w:val="Compact"/>
              <w:jc w:val="center"/>
            </w:pPr>
            <w:r>
              <w:t xml:space="preserve">3,637.09</w:t>
            </w:r>
          </w:p>
        </w:tc>
        <w:tc>
          <w:tcPr/>
          <w:p>
            <w:pPr>
              <w:pStyle w:val="Compact"/>
              <w:jc w:val="center"/>
            </w:pPr>
            <w:r>
              <w:t xml:space="preserve">69.25%</w:t>
            </w:r>
          </w:p>
        </w:tc>
        <w:tc>
          <w:tcPr/>
          <w:p>
            <w:pPr>
              <w:pStyle w:val="Compact"/>
              <w:jc w:val="center"/>
            </w:pPr>
            <w:r>
              <w:t xml:space="preserve">11,879.83</w:t>
            </w:r>
          </w:p>
        </w:tc>
        <w:tc>
          <w:tcPr/>
          <w:p>
            <w:pPr>
              <w:pStyle w:val="Compact"/>
              <w:jc w:val="center"/>
            </w:pPr>
            <w:r>
              <w:t xml:space="preserve">66.80%</w:t>
            </w:r>
          </w:p>
        </w:tc>
        <w:tc>
          <w:tcPr/>
          <w:p>
            <w:pPr>
              <w:pStyle w:val="Compact"/>
              <w:jc w:val="center"/>
            </w:pPr>
            <w:r>
              <w:t xml:space="preserve">7,559.52</w:t>
            </w:r>
          </w:p>
        </w:tc>
        <w:tc>
          <w:tcPr/>
          <w:p>
            <w:pPr>
              <w:pStyle w:val="Compact"/>
              <w:jc w:val="center"/>
            </w:pPr>
            <w:r>
              <w:t xml:space="preserve">60.85%</w:t>
            </w:r>
          </w:p>
        </w:tc>
        <w:tc>
          <w:tcPr/>
          <w:p>
            <w:pPr>
              <w:pStyle w:val="Compact"/>
              <w:jc w:val="center"/>
            </w:pPr>
            <w:r>
              <w:t xml:space="preserve">5,245.79</w:t>
            </w:r>
          </w:p>
        </w:tc>
        <w:tc>
          <w:tcPr/>
          <w:p>
            <w:pPr>
              <w:pStyle w:val="Compact"/>
              <w:jc w:val="center"/>
            </w:pPr>
            <w:r>
              <w:t xml:space="preserve">56.07%</w:t>
            </w:r>
          </w:p>
        </w:tc>
      </w:tr>
      <w:tr>
        <w:tc>
          <w:tcPr/>
          <w:p>
            <w:pPr>
              <w:pStyle w:val="Compact"/>
              <w:jc w:val="center"/>
            </w:pPr>
            <w:r>
              <w:t xml:space="preserve">Customers outside India</w:t>
            </w:r>
          </w:p>
        </w:tc>
        <w:tc>
          <w:tcPr/>
          <w:p>
            <w:pPr>
              <w:pStyle w:val="Compact"/>
              <w:jc w:val="center"/>
            </w:pPr>
            <w:r>
              <w:t xml:space="preserve">1,615.13</w:t>
            </w:r>
          </w:p>
        </w:tc>
        <w:tc>
          <w:tcPr/>
          <w:p>
            <w:pPr>
              <w:pStyle w:val="Compact"/>
              <w:jc w:val="center"/>
            </w:pPr>
            <w:r>
              <w:t xml:space="preserve">30.75%</w:t>
            </w:r>
          </w:p>
        </w:tc>
        <w:tc>
          <w:tcPr/>
          <w:p>
            <w:pPr>
              <w:pStyle w:val="Compact"/>
              <w:jc w:val="center"/>
            </w:pPr>
            <w:r>
              <w:t xml:space="preserve">5,903.64</w:t>
            </w:r>
          </w:p>
        </w:tc>
        <w:tc>
          <w:tcPr/>
          <w:p>
            <w:pPr>
              <w:pStyle w:val="Compact"/>
              <w:jc w:val="center"/>
            </w:pPr>
            <w:r>
              <w:t xml:space="preserve">33.20%</w:t>
            </w:r>
          </w:p>
        </w:tc>
        <w:tc>
          <w:tcPr/>
          <w:p>
            <w:pPr>
              <w:pStyle w:val="Compact"/>
              <w:jc w:val="center"/>
            </w:pPr>
            <w:r>
              <w:t xml:space="preserve">4,863.35</w:t>
            </w:r>
          </w:p>
        </w:tc>
        <w:tc>
          <w:tcPr/>
          <w:p>
            <w:pPr>
              <w:pStyle w:val="Compact"/>
              <w:jc w:val="center"/>
            </w:pPr>
            <w:r>
              <w:t xml:space="preserve">39.15%</w:t>
            </w:r>
          </w:p>
        </w:tc>
        <w:tc>
          <w:tcPr/>
          <w:p>
            <w:pPr>
              <w:pStyle w:val="Compact"/>
              <w:jc w:val="center"/>
            </w:pPr>
            <w:r>
              <w:t xml:space="preserve">4,110.36</w:t>
            </w:r>
          </w:p>
        </w:tc>
        <w:tc>
          <w:tcPr/>
          <w:p>
            <w:pPr>
              <w:pStyle w:val="Compact"/>
              <w:jc w:val="center"/>
            </w:pPr>
            <w:r>
              <w:t xml:space="preserve">43.93%</w:t>
            </w:r>
          </w:p>
        </w:tc>
      </w:tr>
      <w:tr>
        <w:tc>
          <w:tcPr/>
          <w:p>
            <w:pPr>
              <w:pStyle w:val="Compact"/>
              <w:jc w:val="center"/>
            </w:pPr>
            <w:r>
              <w:t xml:space="preserve">Total*</w:t>
            </w:r>
          </w:p>
        </w:tc>
        <w:tc>
          <w:tcPr/>
          <w:p>
            <w:pPr>
              <w:pStyle w:val="Compact"/>
              <w:jc w:val="center"/>
            </w:pPr>
            <w:r>
              <w:t xml:space="preserve">5,252.21</w:t>
            </w:r>
          </w:p>
        </w:tc>
        <w:tc>
          <w:tcPr/>
          <w:p>
            <w:pPr>
              <w:pStyle w:val="Compact"/>
              <w:jc w:val="center"/>
            </w:pPr>
            <w:r>
              <w:t xml:space="preserve">100.00%</w:t>
            </w:r>
          </w:p>
        </w:tc>
        <w:tc>
          <w:tcPr/>
          <w:p>
            <w:pPr>
              <w:pStyle w:val="Compact"/>
              <w:jc w:val="center"/>
            </w:pPr>
            <w:r>
              <w:t xml:space="preserve">17,783.47</w:t>
            </w:r>
          </w:p>
        </w:tc>
        <w:tc>
          <w:tcPr/>
          <w:p>
            <w:pPr>
              <w:pStyle w:val="Compact"/>
              <w:jc w:val="center"/>
            </w:pPr>
            <w:r>
              <w:t xml:space="preserve">100.00%</w:t>
            </w:r>
          </w:p>
        </w:tc>
        <w:tc>
          <w:tcPr/>
          <w:p>
            <w:pPr>
              <w:pStyle w:val="Compact"/>
              <w:jc w:val="center"/>
            </w:pPr>
            <w:r>
              <w:t xml:space="preserve">12,422.87</w:t>
            </w:r>
          </w:p>
        </w:tc>
        <w:tc>
          <w:tcPr/>
          <w:p>
            <w:pPr>
              <w:pStyle w:val="Compact"/>
              <w:jc w:val="center"/>
            </w:pPr>
            <w:r>
              <w:t xml:space="preserve">100.00%</w:t>
            </w:r>
          </w:p>
        </w:tc>
        <w:tc>
          <w:tcPr/>
          <w:p>
            <w:pPr>
              <w:pStyle w:val="Compact"/>
              <w:jc w:val="center"/>
            </w:pPr>
            <w:r>
              <w:t xml:space="preserve">9,356.15</w:t>
            </w:r>
          </w:p>
        </w:tc>
        <w:tc>
          <w:tcPr/>
          <w:p>
            <w:pPr>
              <w:pStyle w:val="Compact"/>
              <w:jc w:val="center"/>
            </w:pPr>
            <w:r>
              <w:t xml:space="preserve">100.00%</w:t>
            </w:r>
          </w:p>
        </w:tc>
      </w:tr>
    </w:tbl>
    <w:p>
      <w:pPr>
        <w:pStyle w:val="BodyText"/>
      </w:pPr>
      <w:r>
        <w:t xml:space="preserve">* This does not include processing charges and other operating revenue.</w:t>
      </w:r>
    </w:p>
    <w:p>
      <w:pPr>
        <w:pStyle w:val="BodyText"/>
      </w:pPr>
      <w:r>
        <w:t xml:space="preserve">Any change in law, regulations and policies in foreign jurisdictions where we sell our products or plan to sell our products may have an adverse impact on our business, financial condition, cash flows and results of operations.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Director General of Foreign Trade, Ministry of Commerce and Industry, Government 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Text"/>
      </w:pPr>
      <w:r>
        <w:t xml:space="preserve">Further, the United States have recently introduced tariff hikes on its imports from India. Electrical components, classified under the Indian customs heading (</w:t>
      </w:r>
      <w:r>
        <w:t xml:space="preserve">“</w:t>
      </w:r>
      <w:r>
        <w:t xml:space="preserve">CTS</w:t>
      </w:r>
      <w:r>
        <w:t xml:space="preserve">”</w:t>
      </w:r>
      <w:r>
        <w:t xml:space="preserve">) 8544, corresponding to the harmonised tariff schedule (</w:t>
      </w:r>
      <w:r>
        <w:t xml:space="preserve">“</w:t>
      </w:r>
      <w:r>
        <w:t xml:space="preserve">HTS</w:t>
      </w:r>
      <w:r>
        <w:t xml:space="preserve">”</w:t>
      </w:r>
      <w:r>
        <w:t xml:space="preserve">) 8544 of the United States, are subject to a reciprocal tariff of 25% and an additional tariff of 25%, totalling a combined tariff rate of 50% when imported to the United States. However, if a product is specifically covered under Section 232 of the Trade Expansion Act, 1962 (</w:t>
      </w:r>
      <w:r>
        <w:t xml:space="preserve">“</w:t>
      </w:r>
      <w:r>
        <w:t xml:space="preserve">Section 232 Tariffs</w:t>
      </w:r>
      <w:r>
        <w:t xml:space="preserve">”</w:t>
      </w:r>
      <w:r>
        <w:t xml:space="preserve">) then the tariff rates of 25% or 50%, as applicable, is applicable and such product would not be applicable to reciprocal and additional tariffs. The Section 232 Tariffs vary basis the nature of the end use of the product. The products 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 232 Tariffs. This increase in tariff rate could lead to a reduction in demand and have a material adverse effect on our business, financial condition, results of operations, and cash flows.</w:t>
      </w:r>
    </w:p>
    <w:p>
      <w:pPr>
        <w:pStyle w:val="BodyText"/>
      </w:pPr>
      <w:r>
        <w:t xml:space="preserve">We have experienced negative cash flows from operating activities in the past. Any negative cash flows in the future would adversely affect our cash flow requirements, which may adversely affect our ability to operate our business and implement our growth plans, thereby affecting our financial condition.</w:t>
      </w:r>
    </w:p>
    <w:p>
      <w:pPr>
        <w:pStyle w:val="BodyText"/>
      </w:pPr>
      <w:r>
        <w:t xml:space="preserve">The table below sets forth certain information relating to our cash flows from operating activities for the periods/ years indicated:</w:t>
      </w:r>
    </w:p>
    <w:tbl>
      <w:tblPr>
        <w:tblStyle w:val="Table"/>
        <w:tblW w:type="pct" w:w="5000"/>
        <w:tblLook w:firstRow="0" w:lastRow="0" w:firstColumn="0" w:lastColumn="0" w:noHBand="0" w:noVBand="0" w:val="0000"/>
        <w:jc w:val="start"/>
      </w:tblPr>
      <w:tblGrid>
        <w:gridCol w:w="1584"/>
        <w:gridCol w:w="1584"/>
        <w:gridCol w:w="1584"/>
        <w:gridCol w:w="1584"/>
        <w:gridCol w:w="1584"/>
      </w:tblGrid>
      <w:tr>
        <w:tc>
          <w:tcPr/>
          <w:p>
            <w:pPr>
              <w:pStyle w:val="Compact"/>
              <w:jc w:val="center"/>
            </w:pPr>
            <w:r>
              <w:t xml:space="preserve">Particulars</w:t>
            </w:r>
          </w:p>
        </w:tc>
        <w:tc>
          <w:tcPr/>
          <w:p>
            <w:pPr>
              <w:pStyle w:val="Compact"/>
              <w:jc w:val="center"/>
            </w:pPr>
            <w:r>
              <w:t xml:space="preserve">Three-month period ended June 30, 2025</w:t>
            </w:r>
          </w:p>
        </w:tc>
        <w:tc>
          <w:tcPr/>
          <w:p>
            <w:pPr>
              <w:pStyle w:val="Compact"/>
              <w:jc w:val="center"/>
            </w:pPr>
            <w:r>
              <w:t xml:space="preserve">Fiscal 2025</w:t>
            </w:r>
          </w:p>
        </w:tc>
        <w:tc>
          <w:tcPr/>
          <w:p>
            <w:pPr>
              <w:pStyle w:val="Compact"/>
              <w:jc w:val="center"/>
            </w:pPr>
            <w:r>
              <w:t xml:space="preserve">Fiscal 2024</w:t>
            </w:r>
          </w:p>
        </w:tc>
        <w:tc>
          <w:tcPr/>
          <w:p>
            <w:pPr>
              <w:pStyle w:val="Compact"/>
              <w:jc w:val="center"/>
            </w:pPr>
            <w:r>
              <w:t xml:space="preserve">Fiscal 2023</w:t>
            </w:r>
          </w:p>
        </w:tc>
      </w:tr>
      <w:tr>
        <w:tc>
          <w:tcPr/>
          <w:p>
            <w:pPr>
              <w:pStyle w:val="Compact"/>
              <w:jc w:val="center"/>
            </w:pPr>
            <w:r>
              <w:t xml:space="preserve">Net cash flows from / (used in) operating activities</w:t>
            </w:r>
          </w:p>
        </w:tc>
        <w:tc>
          <w:tcPr/>
          <w:p>
            <w:pPr>
              <w:pStyle w:val="Compact"/>
              <w:jc w:val="center"/>
            </w:pPr>
            <w:r>
              <w:t xml:space="preserve">139.82</w:t>
            </w:r>
          </w:p>
        </w:tc>
        <w:tc>
          <w:tcPr/>
          <w:p>
            <w:pPr>
              <w:pStyle w:val="Compact"/>
              <w:jc w:val="center"/>
            </w:pPr>
            <w:r>
              <w:t xml:space="preserve">(97.74)</w:t>
            </w:r>
          </w:p>
        </w:tc>
        <w:tc>
          <w:tcPr/>
          <w:p>
            <w:pPr>
              <w:pStyle w:val="Compact"/>
              <w:jc w:val="center"/>
            </w:pPr>
            <w:r>
              <w:t xml:space="preserve">(172.32)</w:t>
            </w:r>
          </w:p>
        </w:tc>
        <w:tc>
          <w:tcPr/>
          <w:p>
            <w:pPr>
              <w:pStyle w:val="Compact"/>
              <w:jc w:val="center"/>
            </w:pPr>
            <w:r>
              <w:t xml:space="preserve">620.89</w:t>
            </w:r>
          </w:p>
        </w:tc>
      </w:tr>
    </w:tbl>
    <w:p>
      <w:pPr>
        <w:pStyle w:val="BodyText"/>
      </w:pPr>
      <w:r>
        <w:t xml:space="preserve">We experienced negative cash flows in the Fiscal 2025, and the Fiscal 2024, due to increase in inventories and increase in trade receivables. Negative cash flows over extended periods, or significant negative cash flows in the short term, could materially impact our ability to operate our business and implement our growth plans. We may face a shortfall of capital in future as a result of negative cash flows and there can be no assurance that we will be able to raise adequate capital in future. As a result, our cash flows, business, future financial performance and results of operations could be materially and adversely affected. For further information, see</w:t>
      </w:r>
      <w:r>
        <w:t xml:space="preserve"> </w:t>
      </w:r>
      <w:r>
        <w:t xml:space="preserve">“</w:t>
      </w:r>
      <w:r>
        <w:t xml:space="preserve">Management’s Discussion and Analysis of Financial Condition and Results of Operations – Cash Flows</w:t>
      </w:r>
      <w:r>
        <w:t xml:space="preserve">”</w:t>
      </w:r>
      <w:r>
        <w:t xml:space="preserve"> </w:t>
      </w:r>
      <w:r>
        <w:t xml:space="preserve">on page 378.</w:t>
      </w:r>
    </w:p>
    <w:p>
      <w:pPr>
        <w:pStyle w:val="BodyText"/>
      </w:pPr>
      <w:r>
        <w:t xml:space="preserve">If we fail to comply with the applicable regulations and rules prescribed by the Government of India and the relevant statutory or regulatory bodies or fail to obtain, maintain or renew our statutory and regulatory licenses, permits and approvals required for our business, our results of operations and cash flows may be adversely affected.</w:t>
      </w:r>
    </w:p>
    <w:p>
      <w:pPr>
        <w:pStyle w:val="BodyText"/>
      </w:pPr>
      <w:r>
        <w:t xml:space="preserve">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 storage, handling, use and transportation of waste materials, the emission and discharge of hazardous waste materials into soil, air or water, and the health and safety of employees) and mandatory certification requirements for our facilities and products. For further information on the nature of the material approvals and licenses required for our business and for information on the material approvals applied for, see</w:t>
      </w:r>
      <w:r>
        <w:t xml:space="preserve"> </w:t>
      </w:r>
      <w:r>
        <w:t xml:space="preserve">“</w:t>
      </w:r>
      <w:r>
        <w:t xml:space="preserve">Government and Other Approvals</w:t>
      </w:r>
      <w:r>
        <w:t xml:space="preserve">”</w:t>
      </w:r>
      <w:r>
        <w:t xml:space="preserve"> </w:t>
      </w:r>
      <w:r>
        <w:t xml:space="preserve">on page 393. In addition, we will need to apply for renewal of certain approvals, licenses registrations and permits, which expire or seek new approvals, licenses, registrations and permits from time to time, as and when required in the 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Text"/>
      </w:pPr>
      <w:r>
        <w:t xml:space="preserve">Our business and operations are subject to a number of approvals, licenses, registrations and permissions for construction and operation of our manufacturing facilities, warehouses, branch offices and regional offices, in addition to extensive government regulations for the protection of the environment and occupational health and safety. We have either made or are in the process of making an application or renewal for obtaining necessary approvals that are not in place or have expired. Further, we may also need to apply for additional approvals including the renewal of approvals which may expire from time to time, in the ordinary course of business. For instance, we have made applications for</w:t>
      </w:r>
    </w:p>
    <w:p>
      <w:pPr>
        <w:numPr>
          <w:ilvl w:val="0"/>
          <w:numId w:val="1005"/>
        </w:numPr>
        <w:pStyle w:val="Compact"/>
      </w:pPr>
      <w:r>
        <w:t xml:space="preserve">certificate of enrolment issued by Maharashtra Sales Tax Department under the Maharashtra State Tax on Professions, Trades, Callings and Employment Act, 1975 and (ii) for amending the name of our Company in certain regulatory approvals and licenses issued under our old name</w:t>
      </w:r>
      <w:r>
        <w:t xml:space="preserve"> </w:t>
      </w:r>
      <w:r>
        <w:t xml:space="preserve">“</w:t>
      </w:r>
      <w:r>
        <w:t xml:space="preserve">Wonka Ltd</w:t>
      </w:r>
      <w:r>
        <w:t xml:space="preserve">”</w:t>
      </w:r>
      <w:r>
        <w:t xml:space="preserve">. Additionally, we are yet to make an application for obtaining the building completion certificate issued in relation to Unit 2 by the Pune Metropolitan Region Development Authority. For details, see</w:t>
      </w:r>
      <w:r>
        <w:t xml:space="preserve"> </w:t>
      </w:r>
      <w:r>
        <w:t xml:space="preserve">“</w:t>
      </w:r>
      <w:r>
        <w:t xml:space="preserve">Government and Other Approvals – C. Material approvals in relation to our Company – IV. Material Approvals or renewal applied for but not received</w:t>
      </w:r>
      <w:r>
        <w:t xml:space="preserve">”</w:t>
      </w:r>
      <w:r>
        <w:t xml:space="preserve"> </w:t>
      </w:r>
      <w:r>
        <w:t xml:space="preserve">on page 394 and</w:t>
      </w:r>
      <w:r>
        <w:t xml:space="preserve"> </w:t>
      </w:r>
      <w:r>
        <w:t xml:space="preserve">“</w:t>
      </w:r>
      <w:r>
        <w:t xml:space="preserve">Government and Other Approvals – C. Material approvals in relation to our Company – IV. Material Approvals for which fresh applications/renewal applications are yet to be made</w:t>
      </w:r>
      <w:r>
        <w:t xml:space="preserve">”</w:t>
      </w:r>
      <w:r>
        <w:t xml:space="preserve"> </w:t>
      </w:r>
      <w:r>
        <w:t xml:space="preserve">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w:t>
      </w:r>
      <w:r>
        <w:t xml:space="preserve"> </w:t>
      </w:r>
      <w:r>
        <w:t xml:space="preserve">“</w:t>
      </w:r>
      <w:r>
        <w:t xml:space="preserve">Government and Other Approvals</w:t>
      </w:r>
      <w:r>
        <w:t xml:space="preserve">”</w:t>
      </w:r>
      <w:r>
        <w:t xml:space="preserve"> </w:t>
      </w:r>
      <w:r>
        <w:t xml:space="preserve">on page 393. If we fail to retain, renew or receive any of such approvals, licenses, registrations, permissions or renewals, in a timely manner or at all, our business, financial condition, results of operations, cash flows and prospects may be adversely affected.</w:t>
      </w:r>
    </w:p>
    <w:p>
      <w:pPr>
        <w:pStyle w:val="FirstParagraph"/>
      </w:pPr>
      <w:r>
        <w:t xml:space="preserve">Further, our government approvals and licenses are subject to certain conditions, some of which are onerous and require us to make substantial compliance-related expenditure. If we fail to comply or a regulator claim that we have</w:t>
      </w:r>
    </w:p>
    <w:p>
      <w:pPr>
        <w:pStyle w:val="BodyText"/>
      </w:pPr>
      <w:r>
        <w:t xml:space="preserve">not complied with such conditions, our business, prospects, financial condition, results of operations and cash flows may be adversely affected.</w:t>
      </w:r>
    </w:p>
    <w:p>
      <w:pPr>
        <w:pStyle w:val="BodyText"/>
      </w:pPr>
      <w: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w:t>
      </w:r>
      <w:r>
        <w:t xml:space="preserve"> </w:t>
      </w:r>
      <w:r>
        <w:t xml:space="preserve">“</w:t>
      </w:r>
      <w:r>
        <w:t xml:space="preserve">Risk Factors – Our insurance coverage may not be sufficient or adequate to protect us against all material hazards, which may adversely affect our business, results of operations, financial condition and cash flows</w:t>
      </w:r>
      <w:r>
        <w:t xml:space="preserve">”</w:t>
      </w:r>
      <w:r>
        <w:t xml:space="preserve"> </w:t>
      </w:r>
      <w:r>
        <w:t xml:space="preserve">on page 54.</w:t>
      </w:r>
    </w:p>
    <w:p>
      <w:pPr>
        <w:pStyle w:val="BodyText"/>
      </w:pPr>
      <w:r>
        <w:t xml:space="preserve">Further, we propose to utilise a portion of our Net Proceeds towards funding the capital expenditure requirements of our Company towards purchasing and setting up of new machinery for expansion at our Umbrella Ltd which will require us to obtain necessary licenses and approvals. For details, see</w:t>
      </w:r>
      <w:r>
        <w:t xml:space="preserve"> </w:t>
      </w:r>
      <w:r>
        <w:t xml:space="preserve">“</w:t>
      </w:r>
      <w:r>
        <w:t xml:space="preserve">Objects of the Offer –Funding the capital expenditure requirements of our Company towards: (i) purchasing and setting up of new machinery for expansion at our Umbrella Ltd (“Phase II Expansion at our Supa Facility</w:t>
      </w:r>
      <w:r>
        <w:t xml:space="preserve">”</w:t>
      </w:r>
      <w:r>
        <w:t xml:space="preserve">); and (ii) purchasing and setting up of new machinery at Unit 2 in Chakan, Pune in Maharashtra” on page 114. We may have to revise our funding requirements and deployment of the Net Proceeds in case we are unable to obtain necessary licenses and approvals or due to other external factors, which may not be within the control of our management.</w:t>
      </w:r>
    </w:p>
    <w:p>
      <w:pPr>
        <w:pStyle w:val="BodyText"/>
      </w:pPr>
      <w:r>
        <w:t xml:space="preserve">Our inability to control the costs involved in complying with these and other relevant laws and regulations could have an adverse effect on our business, financial condition, results of operations and cash flows.</w:t>
      </w:r>
    </w:p>
    <w:p>
      <w:pPr>
        <w:pStyle w:val="BodyText"/>
      </w:pPr>
      <w:r>
        <w:t xml:space="preserve">We are unable to trace some of our historical corporate records including in relation to certain allotments made by our Company. Further, certain corporate records have errors, and certain corporate filings have been made with delays. We cannot assure you that no legal proceedings or regulatory actions will be initiated against our Company in the future in relation to these matters, which may impact our financial condition and reputation.</w:t>
      </w:r>
    </w:p>
    <w:p>
      <w:pPr>
        <w:pStyle w:val="BodyText"/>
      </w:pPr>
      <w:r>
        <w:t xml:space="preserve">Certain of our Company’s corporate records are not traceable as the relevant information was not available in the records maintained by our Company or on the online portal of the Ministry of Corporate Affairs (</w:t>
      </w:r>
      <w:r>
        <w:t xml:space="preserve">“</w:t>
      </w:r>
      <w:r>
        <w:t xml:space="preserve">MCA Portal</w:t>
      </w:r>
      <w:r>
        <w:t xml:space="preserve">”</w:t>
      </w:r>
      <w:r>
        <w:t xml:space="preserve">) or in the physical records available at the Registrar of Companies. For instance, we are unable to trace the following:</w:t>
      </w:r>
    </w:p>
    <w:p>
      <w:pPr>
        <w:pStyle w:val="BodyText"/>
      </w:pPr>
      <w:r>
        <w:t xml:space="preserve">Annual returns filed by the Company beginning from the Fiscal 1980 until the Fiscal 2003, except for the Fiscals ended March 31, 1983, and March 31, 1988;</w:t>
      </w:r>
    </w:p>
    <w:p>
      <w:pPr>
        <w:pStyle w:val="BodyText"/>
      </w:pPr>
      <w:r>
        <w:t xml:space="preserve">Financial statements, (a) between the Fiscal 1980 until March 31, 1985, (b) between the Fiscal 1986 until March 31, 2005, and (c) between the Fiscals 2011 and 2014;</w:t>
      </w:r>
    </w:p>
    <w:p>
      <w:pPr>
        <w:pStyle w:val="BodyText"/>
      </w:pPr>
      <w:r>
        <w:t xml:space="preserve">Form 1, Form 1A and Form 18 along with corresponding RoC challans for incorporation of the Company dated July 30, 1979, application for reservation of name, and intimation of registered office respectively;</w:t>
      </w:r>
    </w:p>
    <w:p>
      <w:pPr>
        <w:pStyle w:val="BodyText"/>
      </w:pPr>
      <w:r>
        <w:t xml:space="preserve">Form 23, Forms 1A and 1B along with corresponding RoC challans for change of name of the Company from</w:t>
      </w:r>
      <w:r>
        <w:t xml:space="preserve"> </w:t>
      </w:r>
      <w:r>
        <w:t xml:space="preserve">“</w:t>
      </w:r>
      <w:r>
        <w:t xml:space="preserve">Acme Corp</w:t>
      </w:r>
      <w:r>
        <w:t xml:space="preserve">”</w:t>
      </w:r>
      <w:r>
        <w:t xml:space="preserve"> </w:t>
      </w:r>
      <w:r>
        <w:t xml:space="preserve">to</w:t>
      </w:r>
      <w:r>
        <w:t xml:space="preserve"> </w:t>
      </w:r>
      <w:r>
        <w:t xml:space="preserve">“</w:t>
      </w:r>
      <w:r>
        <w:t xml:space="preserve">Wonka Ltd</w:t>
      </w:r>
      <w:r>
        <w:t xml:space="preserve">”</w:t>
      </w:r>
      <w:r>
        <w:t xml:space="preserve"> </w:t>
      </w:r>
      <w:r>
        <w:t xml:space="preserve">dated July 4, 1996;</w:t>
      </w:r>
    </w:p>
    <w:p>
      <w:pPr>
        <w:pStyle w:val="BodyText"/>
      </w:pPr>
      <w:r>
        <w:t xml:space="preserve">Form 32 along with corresponding challan for regularization as director in relation to Mary Lee dated September 26, 1996;</w:t>
      </w:r>
    </w:p>
    <w:p>
      <w:pPr>
        <w:pStyle w:val="BodyText"/>
      </w:pPr>
      <w:r>
        <w:t xml:space="preserve">Form 32 along with corresponding RoC challan for appointment as additional director in relation to Mary Smith dated November 1, 2000;</w:t>
      </w:r>
    </w:p>
    <w:p>
      <w:pPr>
        <w:pStyle w:val="BodyText"/>
      </w:pPr>
      <w:r>
        <w:t xml:space="preserve">Form 32 along with the corresponding RoC challan for regularisation as director in relation to Mary Smith dated September 21, 2000;</w:t>
      </w:r>
    </w:p>
    <w:p>
      <w:pPr>
        <w:pStyle w:val="BodyText"/>
      </w:pPr>
      <w:r>
        <w:t xml:space="preserve">Copies or counter folios of share certificates issued to the shareholders; and</w:t>
      </w:r>
    </w:p>
    <w:p>
      <w:pPr>
        <w:pStyle w:val="BodyText"/>
      </w:pPr>
      <w:r>
        <w:t xml:space="preserve">Share transfer forms for all secondary transactions of equity shares, including the following transfers involving the Promoter Selling Shareholders:</w:t>
      </w:r>
    </w:p>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center"/>
            </w:pPr>
            <w:r>
              <w:t xml:space="preserve">S.No.</w:t>
            </w:r>
          </w:p>
        </w:tc>
        <w:tc>
          <w:tcPr/>
          <w:p>
            <w:pPr>
              <w:pStyle w:val="Compact"/>
              <w:jc w:val="center"/>
            </w:pPr>
            <w:r>
              <w:t xml:space="preserve">Date</w:t>
            </w:r>
          </w:p>
        </w:tc>
        <w:tc>
          <w:tcPr/>
          <w:p>
            <w:pPr>
              <w:pStyle w:val="Compact"/>
              <w:jc w:val="center"/>
            </w:pPr>
            <w:r>
              <w:t xml:space="preserve">Details</w:t>
            </w:r>
          </w:p>
        </w:tc>
        <w:tc>
          <w:tcPr/>
          <w:p>
            <w:pPr>
              <w:pStyle w:val="Compact"/>
              <w:jc w:val="center"/>
            </w:pPr>
            <w:r>
              <w:t xml:space="preserve">Nature of document</w:t>
            </w:r>
          </w:p>
        </w:tc>
      </w:tr>
    </w:tbl>
    <w:p/>
    <w:tbl>
      <w:tblPr>
        <w:tblStyle w:val="Table"/>
        <w:tblW w:type="pct" w:w="5000"/>
        <w:tblLook w:firstRow="0" w:lastRow="0" w:firstColumn="0" w:lastColumn="0" w:noHBand="0" w:noVBand="0" w:val="0000"/>
        <w:jc w:val="start"/>
      </w:tblPr>
      <w:tblGrid>
        <w:gridCol w:w="1980"/>
        <w:gridCol w:w="1980"/>
        <w:gridCol w:w="1980"/>
        <w:gridCol w:w="1980"/>
      </w:tblGrid>
      <w:tr>
        <w:tc>
          <w:tcPr/>
          <w:p>
            <w:pPr>
              <w:pStyle w:val="Compact"/>
              <w:jc w:val="center"/>
            </w:pPr>
            <w:r>
              <w:t xml:space="preserve">1.</w:t>
            </w:r>
          </w:p>
        </w:tc>
        <w:tc>
          <w:tcPr/>
          <w:p>
            <w:pPr>
              <w:pStyle w:val="Compact"/>
              <w:jc w:val="center"/>
            </w:pPr>
            <w:r>
              <w:t xml:space="preserve">1979-1980</w:t>
            </w:r>
          </w:p>
        </w:tc>
        <w:tc>
          <w:tcPr/>
          <w:p>
            <w:pPr>
              <w:pStyle w:val="Compact"/>
              <w:jc w:val="center"/>
            </w:pPr>
            <w:r>
              <w:t xml:space="preserve">Initial subscription to the MoA and further issue</w:t>
            </w:r>
          </w:p>
        </w:tc>
        <w:tc>
          <w:tcPr/>
          <w:p>
            <w:pPr>
              <w:pStyle w:val="Compact"/>
              <w:jc w:val="center"/>
            </w:pPr>
            <w:r>
              <w:t xml:space="preserve">The financial statements of FY 1980 and FY 1981.</w:t>
            </w:r>
          </w:p>
        </w:tc>
      </w:tr>
      <w:tr>
        <w:tc>
          <w:tcPr/>
          <w:p>
            <w:pPr>
              <w:pStyle w:val="Compact"/>
              <w:jc w:val="center"/>
            </w:pPr>
            <w:r>
              <w:t xml:space="preserve">2.</w:t>
            </w:r>
          </w:p>
        </w:tc>
        <w:tc>
          <w:tcPr/>
          <w:p>
            <w:pPr>
              <w:pStyle w:val="Compact"/>
              <w:jc w:val="center"/>
            </w:pPr>
            <w:r>
              <w:t xml:space="preserve">September 30,1981</w:t>
            </w:r>
          </w:p>
        </w:tc>
        <w:tc>
          <w:tcPr/>
          <w:p>
            <w:pPr>
              <w:pStyle w:val="Compact"/>
              <w:jc w:val="center"/>
            </w:pPr>
            <w:r>
              <w:t xml:space="preserve">Secondary transfer of equity shares</w:t>
            </w:r>
          </w:p>
        </w:tc>
        <w:tc>
          <w:tcPr/>
          <w:p>
            <w:pPr>
              <w:pStyle w:val="Compact"/>
              <w:jc w:val="center"/>
            </w:pPr>
            <w:r>
              <w:t xml:space="preserve">Form 7B for transfer of shares to Alex Hall from Vandelay Industries and Sam Doe.</w:t>
            </w:r>
          </w:p>
        </w:tc>
      </w:tr>
      <w:tr>
        <w:tc>
          <w:tcPr/>
          <w:p>
            <w:pPr>
              <w:pStyle w:val="Compact"/>
              <w:jc w:val="center"/>
            </w:pPr>
            <w:r>
              <w:t xml:space="preserve">3.</w:t>
            </w:r>
          </w:p>
        </w:tc>
        <w:tc>
          <w:tcPr/>
          <w:p>
            <w:pPr>
              <w:pStyle w:val="Compact"/>
              <w:jc w:val="center"/>
            </w:pPr>
            <w:r>
              <w:t xml:space="preserve">August 6, 1982</w:t>
            </w:r>
          </w:p>
        </w:tc>
        <w:tc>
          <w:tcPr/>
          <w:p>
            <w:pPr>
              <w:pStyle w:val="Compact"/>
              <w:jc w:val="center"/>
            </w:pPr>
            <w:r>
              <w:t xml:space="preserve">Secondary transfer of equity shares</w:t>
            </w:r>
          </w:p>
        </w:tc>
        <w:tc>
          <w:tcPr/>
          <w:p>
            <w:pPr>
              <w:pStyle w:val="Compact"/>
              <w:jc w:val="center"/>
            </w:pPr>
            <w:r>
              <w:t xml:space="preserve">Form 7B for transfer of shares to Alex Hall from Soylent Corp and Hooli Inc.</w:t>
            </w:r>
          </w:p>
        </w:tc>
      </w:tr>
      <w:tr>
        <w:tc>
          <w:tcPr/>
          <w:p>
            <w:pPr>
              <w:pStyle w:val="Compact"/>
              <w:jc w:val="center"/>
            </w:pPr>
            <w:r>
              <w:t xml:space="preserve">4.</w:t>
            </w:r>
          </w:p>
        </w:tc>
        <w:tc>
          <w:tcPr/>
          <w:p>
            <w:pPr>
              <w:pStyle w:val="Compact"/>
              <w:jc w:val="center"/>
            </w:pPr>
            <w:r>
              <w:t xml:space="preserve">December 9, 1983</w:t>
            </w:r>
          </w:p>
        </w:tc>
        <w:tc>
          <w:tcPr/>
          <w:p>
            <w:pPr>
              <w:pStyle w:val="Compact"/>
              <w:jc w:val="center"/>
            </w:pPr>
            <w:r>
              <w:t xml:space="preserve">Secondary transfer of equity shares</w:t>
            </w:r>
          </w:p>
        </w:tc>
        <w:tc>
          <w:tcPr/>
          <w:p>
            <w:pPr>
              <w:pStyle w:val="Compact"/>
              <w:jc w:val="center"/>
            </w:pPr>
            <w:r>
              <w:t xml:space="preserve">Form 7B for transfer of shares to Alex Hall from Wayne Enterprises.</w:t>
            </w:r>
          </w:p>
        </w:tc>
      </w:tr>
      <w:tr>
        <w:tc>
          <w:tcPr/>
          <w:p>
            <w:pPr>
              <w:pStyle w:val="Compact"/>
              <w:jc w:val="center"/>
            </w:pPr>
            <w:r>
              <w:t xml:space="preserve">5.</w:t>
            </w:r>
          </w:p>
        </w:tc>
        <w:tc>
          <w:tcPr/>
          <w:p>
            <w:pPr>
              <w:pStyle w:val="Compact"/>
              <w:jc w:val="center"/>
            </w:pPr>
            <w:r>
              <w:t xml:space="preserve">March 28, 1987</w:t>
            </w:r>
          </w:p>
        </w:tc>
        <w:tc>
          <w:tcPr/>
          <w:p>
            <w:pPr>
              <w:pStyle w:val="Compact"/>
              <w:jc w:val="center"/>
            </w:pPr>
            <w:r>
              <w:t xml:space="preserve">Secondary transfer of equity shares</w:t>
            </w:r>
          </w:p>
        </w:tc>
        <w:tc>
          <w:tcPr/>
          <w:p>
            <w:pPr>
              <w:pStyle w:val="Compact"/>
              <w:jc w:val="center"/>
            </w:pPr>
            <w:r>
              <w:t xml:space="preserve">Form 7B for transfer of shares by Alex Hall to Alex Allen.</w:t>
            </w:r>
          </w:p>
        </w:tc>
      </w:tr>
      <w:tr>
        <w:tc>
          <w:tcPr/>
          <w:p>
            <w:pPr>
              <w:pStyle w:val="Compact"/>
              <w:jc w:val="center"/>
            </w:pPr>
            <w:r>
              <w:t xml:space="preserve">6.</w:t>
            </w:r>
          </w:p>
        </w:tc>
        <w:tc>
          <w:tcPr/>
          <w:p>
            <w:pPr>
              <w:pStyle w:val="Compact"/>
              <w:jc w:val="center"/>
            </w:pPr>
            <w:r>
              <w:t xml:space="preserve">February 25, 1993</w:t>
            </w:r>
          </w:p>
        </w:tc>
        <w:tc>
          <w:tcPr/>
          <w:p>
            <w:pPr>
              <w:pStyle w:val="Compact"/>
              <w:jc w:val="center"/>
            </w:pPr>
            <w:r>
              <w:t xml:space="preserve">Further issue of equity shares</w:t>
            </w:r>
          </w:p>
        </w:tc>
        <w:tc>
          <w:tcPr/>
          <w:p>
            <w:pPr>
              <w:pStyle w:val="Compact"/>
              <w:jc w:val="center"/>
            </w:pPr>
            <w:r>
              <w:t xml:space="preserve">Challan for the Form 2 in relation to the said allotment</w:t>
            </w:r>
          </w:p>
        </w:tc>
      </w:tr>
      <w:tr>
        <w:tc>
          <w:tcPr/>
          <w:p>
            <w:pPr>
              <w:pStyle w:val="Compact"/>
              <w:jc w:val="center"/>
            </w:pPr>
            <w:r>
              <w:t xml:space="preserve">7.</w:t>
            </w:r>
          </w:p>
        </w:tc>
        <w:tc>
          <w:tcPr/>
          <w:p>
            <w:pPr>
              <w:pStyle w:val="Compact"/>
              <w:jc w:val="center"/>
            </w:pPr>
            <w:r>
              <w:t xml:space="preserve">September 7, 1998</w:t>
            </w:r>
          </w:p>
        </w:tc>
        <w:tc>
          <w:tcPr/>
          <w:p>
            <w:pPr>
              <w:pStyle w:val="Compact"/>
              <w:jc w:val="center"/>
            </w:pPr>
            <w:r>
              <w:t xml:space="preserve">Secondary transfer of equity shares</w:t>
            </w:r>
          </w:p>
        </w:tc>
        <w:tc>
          <w:tcPr/>
          <w:p>
            <w:pPr>
              <w:pStyle w:val="Compact"/>
              <w:jc w:val="center"/>
            </w:pPr>
            <w:r>
              <w:t xml:space="preserve">Form 7B for transfer of shares to Karunakar Hegde HUF from Alex Allen.</w:t>
            </w:r>
          </w:p>
        </w:tc>
      </w:tr>
      <w:tr>
        <w:tc>
          <w:tcPr/>
          <w:p>
            <w:pPr>
              <w:pStyle w:val="Compact"/>
              <w:jc w:val="center"/>
            </w:pPr>
            <w:r>
              <w:t xml:space="preserve">8.</w:t>
            </w:r>
          </w:p>
        </w:tc>
        <w:tc>
          <w:tcPr/>
          <w:p>
            <w:pPr>
              <w:pStyle w:val="Compact"/>
              <w:jc w:val="center"/>
            </w:pPr>
            <w:r>
              <w:t xml:space="preserve">September 7, 1998</w:t>
            </w:r>
          </w:p>
        </w:tc>
        <w:tc>
          <w:tcPr/>
          <w:p>
            <w:pPr>
              <w:pStyle w:val="Compact"/>
              <w:jc w:val="center"/>
            </w:pPr>
            <w:r>
              <w:t xml:space="preserve">Secondary transfer of equity shares</w:t>
            </w:r>
          </w:p>
        </w:tc>
        <w:tc>
          <w:tcPr/>
          <w:p>
            <w:pPr>
              <w:pStyle w:val="Compact"/>
              <w:jc w:val="center"/>
            </w:pPr>
            <w:r>
              <w:t xml:space="preserve">Form 7B for transfer of shares to Mary Lee from Narayana B. Shetty</w:t>
            </w:r>
          </w:p>
        </w:tc>
      </w:tr>
      <w:tr>
        <w:tc>
          <w:tcPr/>
          <w:p>
            <w:pPr>
              <w:pStyle w:val="Compact"/>
              <w:jc w:val="center"/>
            </w:pPr>
            <w:r>
              <w:t xml:space="preserve">9.</w:t>
            </w:r>
          </w:p>
        </w:tc>
        <w:tc>
          <w:tcPr/>
          <w:p>
            <w:pPr>
              <w:pStyle w:val="Compact"/>
              <w:jc w:val="center"/>
            </w:pPr>
            <w:r>
              <w:t xml:space="preserve">December 28,1998</w:t>
            </w:r>
          </w:p>
        </w:tc>
        <w:tc>
          <w:tcPr/>
          <w:p>
            <w:pPr>
              <w:pStyle w:val="Compact"/>
              <w:jc w:val="center"/>
            </w:pPr>
            <w:r>
              <w:t xml:space="preserve">Secondary transfer of equity shares</w:t>
            </w:r>
          </w:p>
        </w:tc>
        <w:tc>
          <w:tcPr/>
          <w:p>
            <w:pPr>
              <w:pStyle w:val="Compact"/>
              <w:jc w:val="center"/>
            </w:pPr>
            <w:r>
              <w:t xml:space="preserve">Form 7B for transfer of shares to Alex Hall from Stark Industries</w:t>
            </w:r>
          </w:p>
        </w:tc>
      </w:tr>
      <w:tr>
        <w:tc>
          <w:tcPr/>
          <w:p>
            <w:pPr>
              <w:pStyle w:val="Compact"/>
              <w:jc w:val="center"/>
            </w:pPr>
            <w:r>
              <w:t xml:space="preserve">10.</w:t>
            </w:r>
          </w:p>
        </w:tc>
        <w:tc>
          <w:tcPr/>
          <w:p>
            <w:pPr>
              <w:pStyle w:val="Compact"/>
              <w:jc w:val="center"/>
            </w:pPr>
            <w:r>
              <w:t xml:space="preserve">December 28,1998</w:t>
            </w:r>
          </w:p>
        </w:tc>
        <w:tc>
          <w:tcPr/>
          <w:p>
            <w:pPr>
              <w:pStyle w:val="Compact"/>
              <w:jc w:val="center"/>
            </w:pPr>
            <w:r>
              <w:t xml:space="preserve">Secondary transfer of equity shares</w:t>
            </w:r>
          </w:p>
        </w:tc>
        <w:tc>
          <w:tcPr/>
          <w:p>
            <w:pPr>
              <w:pStyle w:val="Compact"/>
              <w:jc w:val="center"/>
            </w:pPr>
            <w:r>
              <w:t xml:space="preserve">Form 7B for transfer of shares to Alex Clark from Karunakar Hegde HUF.</w:t>
            </w:r>
          </w:p>
        </w:tc>
      </w:tr>
      <w:tr>
        <w:tc>
          <w:tcPr/>
          <w:p>
            <w:pPr>
              <w:pStyle w:val="Compact"/>
              <w:jc w:val="center"/>
            </w:pPr>
            <w:r>
              <w:t xml:space="preserve">11.</w:t>
            </w:r>
          </w:p>
        </w:tc>
        <w:tc>
          <w:tcPr/>
          <w:p>
            <w:pPr>
              <w:pStyle w:val="Compact"/>
              <w:jc w:val="center"/>
            </w:pPr>
            <w:r>
              <w:t xml:space="preserve">December 28,1998</w:t>
            </w:r>
          </w:p>
        </w:tc>
        <w:tc>
          <w:tcPr/>
          <w:p>
            <w:pPr>
              <w:pStyle w:val="Compact"/>
              <w:jc w:val="center"/>
            </w:pPr>
            <w:r>
              <w:t xml:space="preserve">Secondary transfer of equity shares</w:t>
            </w:r>
          </w:p>
        </w:tc>
        <w:tc>
          <w:tcPr/>
          <w:p>
            <w:pPr>
              <w:pStyle w:val="Compact"/>
              <w:jc w:val="center"/>
            </w:pPr>
            <w:r>
              <w:t xml:space="preserve">Form 7B for transfer of shares to Mary Lee from Stark Industries</w:t>
            </w:r>
          </w:p>
        </w:tc>
      </w:tr>
      <w:tr>
        <w:tc>
          <w:tcPr/>
          <w:p>
            <w:pPr>
              <w:pStyle w:val="Compact"/>
              <w:jc w:val="center"/>
            </w:pPr>
            <w:r>
              <w:t xml:space="preserve">12.</w:t>
            </w:r>
          </w:p>
        </w:tc>
        <w:tc>
          <w:tcPr/>
          <w:p>
            <w:pPr>
              <w:pStyle w:val="Compact"/>
              <w:jc w:val="center"/>
            </w:pPr>
            <w:r>
              <w:t xml:space="preserve">November 29,2001</w:t>
            </w:r>
          </w:p>
        </w:tc>
        <w:tc>
          <w:tcPr/>
          <w:p>
            <w:pPr>
              <w:pStyle w:val="Compact"/>
              <w:jc w:val="center"/>
            </w:pPr>
            <w:r>
              <w:t xml:space="preserve">Secondary transfer of equity shares</w:t>
            </w:r>
          </w:p>
        </w:tc>
        <w:tc>
          <w:tcPr/>
          <w:p>
            <w:pPr>
              <w:pStyle w:val="Compact"/>
              <w:jc w:val="center"/>
            </w:pPr>
            <w:r>
              <w:t xml:space="preserve">Form 7B for transfer of shares to Alex Walker by Alex Young.</w:t>
            </w:r>
          </w:p>
        </w:tc>
      </w:tr>
      <w:tr>
        <w:tc>
          <w:tcPr/>
          <w:p>
            <w:pPr>
              <w:pStyle w:val="Compact"/>
              <w:jc w:val="center"/>
            </w:pPr>
            <w:r>
              <w:t xml:space="preserve">13.</w:t>
            </w:r>
          </w:p>
        </w:tc>
        <w:tc>
          <w:tcPr/>
          <w:p>
            <w:pPr>
              <w:pStyle w:val="Compact"/>
              <w:jc w:val="center"/>
            </w:pPr>
            <w:r>
              <w:t xml:space="preserve">November 29,2001</w:t>
            </w:r>
          </w:p>
        </w:tc>
        <w:tc>
          <w:tcPr/>
          <w:p>
            <w:pPr>
              <w:pStyle w:val="Compact"/>
              <w:jc w:val="center"/>
            </w:pPr>
            <w:r>
              <w:t xml:space="preserve">Secondary transfer of equity shares</w:t>
            </w:r>
          </w:p>
        </w:tc>
        <w:tc>
          <w:tcPr/>
          <w:p>
            <w:pPr>
              <w:pStyle w:val="Compact"/>
              <w:jc w:val="center"/>
            </w:pPr>
            <w:r>
              <w:t xml:space="preserve">Form 7B for transfer of shares to Alex Clark by Alex Young.</w:t>
            </w:r>
          </w:p>
        </w:tc>
      </w:tr>
      <w:tr>
        <w:tc>
          <w:tcPr/>
          <w:p>
            <w:pPr>
              <w:pStyle w:val="Compact"/>
              <w:jc w:val="center"/>
            </w:pPr>
            <w:r>
              <w:t xml:space="preserve">14.</w:t>
            </w:r>
          </w:p>
        </w:tc>
        <w:tc>
          <w:tcPr/>
          <w:p>
            <w:pPr>
              <w:pStyle w:val="Compact"/>
              <w:jc w:val="center"/>
            </w:pPr>
            <w:r>
              <w:t xml:space="preserve">April 20, 2002</w:t>
            </w:r>
          </w:p>
        </w:tc>
        <w:tc>
          <w:tcPr/>
          <w:p>
            <w:pPr>
              <w:pStyle w:val="Compact"/>
              <w:jc w:val="center"/>
            </w:pPr>
            <w:r>
              <w:t xml:space="preserve">Secondary transfer of equity shares</w:t>
            </w:r>
          </w:p>
        </w:tc>
        <w:tc>
          <w:tcPr/>
          <w:p>
            <w:pPr>
              <w:pStyle w:val="Compact"/>
              <w:jc w:val="center"/>
            </w:pPr>
            <w:r>
              <w:t xml:space="preserve">Form 7B for transfer of shares by Alex Hall to Alex Walker and Alex Clark.</w:t>
            </w:r>
          </w:p>
        </w:tc>
      </w:tr>
      <w:tr>
        <w:tc>
          <w:tcPr/>
          <w:p>
            <w:pPr>
              <w:pStyle w:val="Compact"/>
              <w:jc w:val="center"/>
            </w:pPr>
            <w:r>
              <w:t xml:space="preserve">15.</w:t>
            </w:r>
          </w:p>
        </w:tc>
        <w:tc>
          <w:tcPr/>
          <w:p>
            <w:pPr>
              <w:pStyle w:val="Compact"/>
              <w:jc w:val="center"/>
            </w:pPr>
            <w:r>
              <w:t xml:space="preserve">1979-1980</w:t>
            </w:r>
          </w:p>
        </w:tc>
        <w:tc>
          <w:tcPr/>
          <w:p>
            <w:pPr>
              <w:pStyle w:val="Compact"/>
              <w:jc w:val="center"/>
            </w:pPr>
            <w:r>
              <w:t xml:space="preserve">Initial subscription to the MoA and further issue</w:t>
            </w:r>
          </w:p>
        </w:tc>
        <w:tc>
          <w:tcPr/>
          <w:p>
            <w:pPr>
              <w:pStyle w:val="Compact"/>
              <w:jc w:val="center"/>
            </w:pPr>
            <w:r>
              <w:t xml:space="preserve">The financial statements of FY 1980 and FY 1981.</w:t>
            </w:r>
          </w:p>
        </w:tc>
      </w:tr>
      <w:tr>
        <w:tc>
          <w:tcPr/>
          <w:p>
            <w:pPr>
              <w:pStyle w:val="Compact"/>
              <w:jc w:val="center"/>
            </w:pPr>
            <w:r>
              <w:t xml:space="preserve">16.</w:t>
            </w:r>
          </w:p>
        </w:tc>
        <w:tc>
          <w:tcPr/>
          <w:p>
            <w:pPr>
              <w:pStyle w:val="Compact"/>
              <w:jc w:val="center"/>
            </w:pPr>
            <w:r>
              <w:t xml:space="preserve">February 20, 2015</w:t>
            </w:r>
          </w:p>
        </w:tc>
        <w:tc>
          <w:tcPr/>
          <w:p>
            <w:pPr>
              <w:pStyle w:val="Compact"/>
              <w:jc w:val="center"/>
            </w:pPr>
            <w:r>
              <w:t xml:space="preserve">Conversion of unsecured loan</w:t>
            </w:r>
          </w:p>
        </w:tc>
        <w:tc>
          <w:tcPr/>
          <w:p>
            <w:pPr>
              <w:pStyle w:val="Compact"/>
              <w:jc w:val="center"/>
            </w:pPr>
            <w:r>
              <w:t xml:space="preserve">Valuation report of an independent chartered accountant for conversion of loan into equity shares.</w:t>
            </w:r>
          </w:p>
        </w:tc>
      </w:tr>
      <w:tr>
        <w:tc>
          <w:tcPr/>
          <w:p>
            <w:pPr>
              <w:pStyle w:val="Compact"/>
              <w:jc w:val="center"/>
            </w:pPr>
            <w:r>
              <w:t xml:space="preserve">17.</w:t>
            </w:r>
          </w:p>
        </w:tc>
        <w:tc>
          <w:tcPr/>
          <w:p>
            <w:pPr>
              <w:pStyle w:val="Compact"/>
              <w:jc w:val="center"/>
            </w:pPr>
            <w:r>
              <w:t xml:space="preserve">March 29, 2016</w:t>
            </w:r>
          </w:p>
        </w:tc>
        <w:tc>
          <w:tcPr/>
          <w:p>
            <w:pPr>
              <w:pStyle w:val="Compact"/>
              <w:jc w:val="center"/>
            </w:pPr>
            <w:r>
              <w:t xml:space="preserve">Secondary transfer of equity shares</w:t>
            </w:r>
          </w:p>
        </w:tc>
        <w:tc>
          <w:tcPr/>
          <w:p>
            <w:pPr>
              <w:pStyle w:val="Compact"/>
              <w:jc w:val="center"/>
            </w:pPr>
            <w:r>
              <w:t xml:space="preserve">Form SH- 4 for transfer of shares by Alex Hall, Alex Walker and Alex Clark to Pushpa Hegde.</w:t>
            </w:r>
          </w:p>
        </w:tc>
      </w:tr>
      <w:tr>
        <w:tc>
          <w:tcPr/>
          <w:p>
            <w:pPr>
              <w:pStyle w:val="Compact"/>
              <w:jc w:val="center"/>
            </w:pPr>
            <w:r>
              <w:t xml:space="preserve">18.</w:t>
            </w:r>
          </w:p>
        </w:tc>
        <w:tc>
          <w:tcPr/>
          <w:p>
            <w:pPr>
              <w:pStyle w:val="Compact"/>
              <w:jc w:val="center"/>
            </w:pPr>
            <w:r>
              <w:t xml:space="preserve">1979 – 2016</w:t>
            </w:r>
          </w:p>
        </w:tc>
        <w:tc>
          <w:tcPr/>
          <w:p>
            <w:pPr>
              <w:pStyle w:val="Compact"/>
              <w:jc w:val="center"/>
            </w:pPr>
            <w:r>
              <w:t xml:space="preserve">Copy or counter folios of share certificates issued to the shareholders.</w:t>
            </w:r>
          </w:p>
        </w:tc>
        <w:tc>
          <w:tcPr/>
          <w:p>
            <w:pPr>
              <w:pStyle w:val="Compact"/>
            </w:pPr>
          </w:p>
        </w:tc>
      </w:tr>
    </w:tbl>
    <w:p>
      <w:pPr>
        <w:pStyle w:val="BodyText"/>
      </w:pPr>
      <w:r>
        <w:t xml:space="preserve">For further details, see</w:t>
      </w:r>
      <w:r>
        <w:t xml:space="preserve"> </w:t>
      </w:r>
      <w:r>
        <w:t xml:space="preserve">“</w:t>
      </w:r>
      <w:r>
        <w:t xml:space="preserve">Capital Structure – Details of history of shareholding and share capital of our Promoters and members of the Promoter Group in our Company</w:t>
      </w:r>
      <w:r>
        <w:t xml:space="preserve">”</w:t>
      </w:r>
      <w:r>
        <w:t xml:space="preserve"> </w:t>
      </w:r>
      <w:r>
        <w:t xml:space="preserve">and</w:t>
      </w:r>
      <w:r>
        <w:t xml:space="preserve"> </w:t>
      </w:r>
      <w:r>
        <w:t xml:space="preserve">“</w:t>
      </w:r>
      <w:r>
        <w:t xml:space="preserve">Capital Structure – Equity Share capital history of our Company</w:t>
      </w:r>
      <w:r>
        <w:t xml:space="preserve">”</w:t>
      </w:r>
      <w:r>
        <w:t xml:space="preserve"> </w:t>
      </w:r>
      <w:r>
        <w:t xml:space="preserve">on pages 91 and 85, respectively.</w:t>
      </w:r>
    </w:p>
    <w:p>
      <w:pPr>
        <w:pStyle w:val="BodyText"/>
      </w:pPr>
      <w:r>
        <w:t xml:space="preserve">We have been unable to trace these documents despite commissioning a detailed search at the Registrar of Companies, through an independent practicing company secretary, Kanj and Co LLP (</w:t>
      </w:r>
      <w:r>
        <w:t xml:space="preserve">“</w:t>
      </w:r>
      <w:r>
        <w:t xml:space="preserve">Practicing Company Secretary</w:t>
      </w:r>
      <w:r>
        <w:t xml:space="preserve">”</w:t>
      </w:r>
      <w:r>
        <w:t xml:space="preserve">), to trace records and filings available with Registrar of Companies and reliance has been placed on the certificate dated May 21, 2025, issued by Umbrella Ltd Secretary. We have also intimated the Registrar of Companies by way of our letter dated May 21, 2025, regarding the missing corporate records.</w:t>
      </w:r>
    </w:p>
    <w:p>
      <w:pPr>
        <w:pStyle w:val="BodyText"/>
      </w:pPr>
      <w:r>
        <w:t xml:space="preserve">In addition, 1,000, equity shares of face value of ₹100 each allotted to Alex Wilson, 500 equity shares of face value of ₹100 each allotted to Mary Brown, Alex Brown and Alex Lee, respectively, pursuant to the initial subscription to the MoA dated June 29, 1979, were subsequently taken on record by the Board by way of a resolution dated August 25, 1979. For further details, see</w:t>
      </w:r>
      <w:r>
        <w:t xml:space="preserve"> </w:t>
      </w:r>
      <w:r>
        <w:t xml:space="preserve">“</w:t>
      </w:r>
      <w:r>
        <w:t xml:space="preserve">Capital Structure – Notes to Capital Structure – Equity Share capital history of our Company</w:t>
      </w:r>
      <w:r>
        <w:t xml:space="preserve">”</w:t>
      </w:r>
      <w:r>
        <w:t xml:space="preserve">.</w:t>
      </w:r>
    </w:p>
    <w:p>
      <w:pPr>
        <w:pStyle w:val="BodyText"/>
      </w:pPr>
      <w:r>
        <w:t xml:space="preserve">Further, some of our form filings made with the RoC have been delayed in the three-month period ended June 30, 2025, and Fiscals 2025, 2024 and 2023. We have made such filings subsequent to the statutory period with a late filing fee. We cannot assure you that our future filings shall be made within the time permitted under the applicable laws, and that any legal proceedings or regulatory actions will be initiated against our Company in the future.</w:t>
      </w:r>
    </w:p>
    <w:p>
      <w:pPr>
        <w:pStyle w:val="BodyText"/>
      </w:pPr>
      <w:r>
        <w:t xml:space="preserve">Although no regulatory action/ litigation is pending against us in relation to (i) untraceable secretarial and other corporate records and documents, (ii) errors in our corporate filings, and (iii) delays in our corporate filings, we cannot assure you that we will not be subject to penalties imposed by regulatory authorities in this respect.</w:t>
      </w:r>
    </w:p>
    <w:p>
      <w:pPr>
        <w:pStyle w:val="BodyText"/>
      </w:pPr>
      <w:r>
        <w:t xml:space="preserve">Certain sections of this Vandelay Industries contain information from the CARE Report which has been commissioned by us and any reliance on such information for making an investment decision in this Offer is subject to inherent risks.</w:t>
      </w:r>
    </w:p>
    <w:p>
      <w:pPr>
        <w:pStyle w:val="BodyText"/>
      </w:pPr>
      <w:r>
        <w:t xml:space="preserve">Certain sections of this Red Herring Prospectus include information based on, or derived from, the CARE Report or extracts of the CARE Report prepared by Care Analytics and Advisory Private Limited (</w:t>
      </w:r>
      <w:r>
        <w:t xml:space="preserve">“</w:t>
      </w:r>
      <w:r>
        <w:t xml:space="preserve">CareEdge Research</w:t>
      </w:r>
      <w:r>
        <w:t xml:space="preserve">”</w:t>
      </w:r>
      <w:r>
        <w:t xml:space="preserve">). All such information in this Vandelay Industries indicates the CARE Report as its source. The CARE Report is available on the website of our Company at</w:t>
      </w:r>
      <w:r>
        <w:t xml:space="preserve"> </w:t>
      </w:r>
      <w:hyperlink r:id="rId30">
        <w:r>
          <w:rPr>
            <w:rStyle w:val="Hyperlink"/>
          </w:rPr>
          <w:t xml:space="preserve">https://kshinternational.com/investor-relations/industry-report/</w:t>
        </w:r>
      </w:hyperlink>
      <w:r>
        <w:t xml:space="preserve">.</w:t>
      </w:r>
    </w:p>
    <w:p>
      <w:pPr>
        <w:pStyle w:val="BodyText"/>
      </w:pPr>
      <w:r>
        <w:t xml:space="preserve">The CARE Report is commissioned and paid for by our Company pursuant to an engagement letter dated December 2, 2024, for the purpose of confirming our understanding of the industry in connection with this Offer. While Initech LLC is not related to our Company, our Promoters or our Directors, our Company has subscribed to and paid for certain research and reports from Initech LLC business process services division.</w:t>
      </w:r>
    </w:p>
    <w:p>
      <w:pPr>
        <w:pStyle w:val="BodyText"/>
      </w:pPr>
      <w:r>
        <w:t xml:space="preserve">Industry sources and publications are prepared based on information as of specific dates and may no longer be current or reflect current trends. Industry sources and publications may also base their information on estimates, projections, forecasts and assumptions that may prove to be incorrect. Further, the CARE Report is not a recommendation to invest</w:t>
      </w:r>
    </w:p>
    <w:p>
      <w:pPr>
        <w:pStyle w:val="BodyText"/>
      </w:pPr>
      <w:r>
        <w:t xml:space="preserve">/ disinvest in any company covered in the CARE Report. Accordingly, prospective investors should not place undue reliance on or base their investment decision solely on this information.</w:t>
      </w:r>
    </w:p>
    <w:p>
      <w:pPr>
        <w:pStyle w:val="BodyText"/>
      </w:pPr>
      <w:r>
        <w:t xml:space="preserve">In view of the foregoing, you may not be able to seek legal recourse for any losses resulting from undertaking any investment in this Offer pursuant to reliance on the information in this Vandelay Industries based on, or derived from, the CARE Report. You should consult your own advisors and undertake an independent assessment of information in this Vandelay Industries based on, or derived from, the CARE Report before making any investment decision regarding this Offer. See</w:t>
      </w:r>
      <w:r>
        <w:t xml:space="preserve"> </w:t>
      </w:r>
      <w:r>
        <w:t xml:space="preserve">“</w:t>
      </w:r>
      <w:r>
        <w:t xml:space="preserve">Industry Overview</w:t>
      </w:r>
      <w:r>
        <w:t xml:space="preserve">”</w:t>
      </w:r>
      <w:r>
        <w:t xml:space="preserve"> </w:t>
      </w:r>
      <w:r>
        <w:t xml:space="preserve">on page 137. For the disclaimer associated with the CARE Report, see</w:t>
      </w:r>
      <w:r>
        <w:t xml:space="preserve"> </w:t>
      </w:r>
      <w:r>
        <w:t xml:space="preserve">“</w:t>
      </w:r>
      <w:r>
        <w:t xml:space="preserve">Certain Conventions, Use of Globex Inc and Market Data and Currency of Presentation – Industry and Market Data</w:t>
      </w:r>
      <w:r>
        <w:t xml:space="preserve">”</w:t>
      </w:r>
      <w:r>
        <w:t xml:space="preserve"> </w:t>
      </w:r>
      <w:r>
        <w:t xml:space="preserve">on page 16.</w:t>
      </w:r>
    </w:p>
    <w:p>
      <w:pPr>
        <w:pStyle w:val="BodyText"/>
      </w:pPr>
      <w:r>
        <w:t xml:space="preserve">We operate in a competitive business environment. Failure to compete effectively against our competitors and new entrants to the industry may adversely affect our business, financial condition and results of operations.</w:t>
      </w:r>
    </w:p>
    <w:p>
      <w:pPr>
        <w:pStyle w:val="BodyText"/>
      </w:pPr>
      <w:r>
        <w:t xml:space="preserve">We face significant competition in our business from other manufacturers and suppliers of winding wires. Our competitors may possess wider product ranges, larger sales teams, greater intellectual property resources and broader appeal across various divisions. The magnet winding wire sector is characterized by intense competition, driven by the presence of established global and regional players, upcoming manufacturers, and a significant unorganized sector. (Source: CARE Report). For further details on our competitors, see</w:t>
      </w:r>
      <w:r>
        <w:t xml:space="preserve"> </w:t>
      </w:r>
      <w:r>
        <w:t xml:space="preserve">“</w:t>
      </w:r>
      <w:r>
        <w:t xml:space="preserve">Our Business – Competition</w:t>
      </w:r>
      <w:r>
        <w:t xml:space="preserve">”</w:t>
      </w:r>
      <w:r>
        <w:t xml:space="preserve">,</w:t>
      </w:r>
      <w:r>
        <w:t xml:space="preserve"> </w:t>
      </w:r>
      <w:r>
        <w:t xml:space="preserve">“</w:t>
      </w:r>
      <w:r>
        <w:t xml:space="preserve">Basis for Offer Price</w:t>
      </w:r>
      <w:r>
        <w:t xml:space="preserve">”</w:t>
      </w:r>
      <w:r>
        <w:t xml:space="preserve"> </w:t>
      </w:r>
      <w:r>
        <w:t xml:space="preserve">and</w:t>
      </w:r>
      <w:r>
        <w:t xml:space="preserve"> </w:t>
      </w:r>
      <w:r>
        <w:t xml:space="preserve">“</w:t>
      </w:r>
      <w:r>
        <w:t xml:space="preserve">Industry Overview</w:t>
      </w:r>
      <w:r>
        <w:t xml:space="preserve">”</w:t>
      </w:r>
      <w:r>
        <w:t xml:space="preserve"> </w:t>
      </w:r>
      <w:r>
        <w:t xml:space="preserve">on pages 234, 124 and 137, respectively. Our failure to compete effectively with respect to any of these or other factors could have an adverse effect on our business, prospects, financial condition or operating results. Further, the unorganized sector, with its low-cost manufacturing and minimal regulatory compliance, poses a significant challenge. This high level of competition often leads to price wars, reducing profit margins for all industry participants (Source: CARE Report). We cannot assure you that we will be able to compete successfully against our competitors as well as new entrants in our industry in the future. Accordingly, our business, financial condition, results of operations and prospects would be adversely and materially affected if we are unable to maintain our competitive advantage and compete successfully against our competitors and any new entrants in the industry.</w:t>
      </w:r>
    </w:p>
    <w:p>
      <w:pPr>
        <w:pStyle w:val="BodyText"/>
      </w:pPr>
      <w:r>
        <w:t xml:space="preserve">While we work consistently to offset pricing pressures, produce new products, improve our services or enhance our production efficiency to reduce costs, such efforts may not be successful. Also, as we plan to expand our offerings to launch new products, we may face strong competition from other players in the same markets. Many of our existing and potential competitors may seek to equal or exceed us in terms of their financial, production, sales, marketing and other resources. If we fail to compete effectively in the future, our business and prospects could be materially and adversely affected.</w:t>
      </w:r>
    </w:p>
    <w:p>
      <w:pPr>
        <w:pStyle w:val="BodyText"/>
      </w:pPr>
      <w:r>
        <w:t xml:space="preserve">Any failure in arranging adequate working capital for our operations or furnishing performance bank guarantees may adversely affect our business, results of operations, cash flows and financial condition.</w:t>
      </w:r>
    </w:p>
    <w:p>
      <w:pPr>
        <w:pStyle w:val="BodyText"/>
      </w:pPr>
      <w:r>
        <w:t xml:space="preserve">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Text"/>
      </w:pPr>
      <w:r>
        <w:t xml:space="preserve">Set out below are our working capital days for the three-month period ended June 30, 2025, and the Fiscals 2025, 2024 and 2023:</w:t>
      </w:r>
    </w:p>
    <w:tbl>
      <w:tblPr>
        <w:tblStyle w:val="Table"/>
        <w:tblW w:type="pct" w:w="5000"/>
        <w:tblLook w:firstRow="0" w:lastRow="0" w:firstColumn="0" w:lastColumn="0" w:noHBand="0" w:noVBand="0" w:val="0000"/>
        <w:jc w:val="start"/>
      </w:tblPr>
      <w:tblGrid>
        <w:gridCol w:w="1320"/>
        <w:gridCol w:w="1320"/>
        <w:gridCol w:w="1320"/>
        <w:gridCol w:w="1320"/>
        <w:gridCol w:w="1320"/>
        <w:gridCol w:w="1320"/>
      </w:tblGrid>
      <w:tr>
        <w:tc>
          <w:tcPr/>
          <w:p>
            <w:pPr>
              <w:pStyle w:val="Compact"/>
              <w:jc w:val="center"/>
            </w:pPr>
            <w:r>
              <w:t xml:space="preserve">Particulars</w:t>
            </w:r>
          </w:p>
        </w:tc>
        <w:tc>
          <w:tcPr/>
          <w:p>
            <w:pPr>
              <w:pStyle w:val="Compact"/>
              <w:jc w:val="center"/>
            </w:pPr>
            <w:r>
              <w:t xml:space="preserve">Three-month period ended June 30, 2025</w:t>
            </w:r>
          </w:p>
        </w:tc>
        <w:tc>
          <w:tcPr/>
          <w:p>
            <w:pPr>
              <w:pStyle w:val="Compact"/>
              <w:jc w:val="center"/>
            </w:pPr>
            <w:r>
              <w:t xml:space="preserve">Fiscal 2025</w:t>
            </w:r>
          </w:p>
        </w:tc>
        <w:tc>
          <w:tcPr/>
          <w:p>
            <w:pPr>
              <w:pStyle w:val="Compact"/>
              <w:jc w:val="center"/>
            </w:pPr>
            <w:r>
              <w:t xml:space="preserve">Fiscal 2024</w:t>
            </w:r>
          </w:p>
        </w:tc>
        <w:tc>
          <w:tcPr/>
          <w:p>
            <w:pPr>
              <w:pStyle w:val="Compact"/>
              <w:jc w:val="center"/>
            </w:pPr>
            <w:r>
              <w:t xml:space="preserve">Fiscal 2023</w:t>
            </w:r>
          </w:p>
        </w:tc>
        <w:tc>
          <w:tcPr/>
          <w:p>
            <w:pPr>
              <w:pStyle w:val="Compact"/>
            </w:pPr>
          </w:p>
        </w:tc>
      </w:tr>
      <w:tr>
        <w:tc>
          <w:tcPr/>
          <w:p>
            <w:pPr>
              <w:pStyle w:val="Compact"/>
              <w:jc w:val="center"/>
            </w:pPr>
            <w:r>
              <w:t xml:space="preserve">Net Working Capital Days(1)</w:t>
            </w:r>
          </w:p>
        </w:tc>
        <w:tc>
          <w:tcPr/>
          <w:p>
            <w:pPr>
              <w:pStyle w:val="Compact"/>
              <w:jc w:val="center"/>
            </w:pPr>
            <w:r>
              <w:t xml:space="preserve">Number of days</w:t>
            </w:r>
          </w:p>
        </w:tc>
        <w:tc>
          <w:tcPr/>
          <w:p>
            <w:pPr>
              <w:pStyle w:val="Compact"/>
              <w:jc w:val="center"/>
            </w:pPr>
            <w:r>
              <w:t xml:space="preserve">72</w:t>
            </w:r>
          </w:p>
        </w:tc>
        <w:tc>
          <w:tcPr/>
          <w:p>
            <w:pPr>
              <w:pStyle w:val="Compact"/>
              <w:jc w:val="center"/>
            </w:pPr>
            <w:r>
              <w:t xml:space="preserve">80</w:t>
            </w:r>
          </w:p>
        </w:tc>
        <w:tc>
          <w:tcPr/>
          <w:p>
            <w:pPr>
              <w:pStyle w:val="Compact"/>
              <w:jc w:val="center"/>
            </w:pPr>
            <w:r>
              <w:t xml:space="preserve">76</w:t>
            </w:r>
          </w:p>
        </w:tc>
        <w:tc>
          <w:tcPr/>
          <w:p>
            <w:pPr>
              <w:pStyle w:val="Compact"/>
              <w:jc w:val="center"/>
            </w:pPr>
            <w:r>
              <w:t xml:space="preserve">73</w:t>
            </w:r>
          </w:p>
        </w:tc>
      </w:tr>
    </w:tbl>
    <w:p>
      <w:pPr>
        <w:numPr>
          <w:ilvl w:val="0"/>
          <w:numId w:val="1006"/>
        </w:numPr>
        <w:pStyle w:val="Compact"/>
      </w:pPr>
      <w:r>
        <w:t xml:space="preserve">Working capital days is computed as Inventory days plus Trade receivable days minus Trade payable days. Inventory days is calculated as Inventory divided by Cost of goods sold (COGS) from operations multiplied by 365 or 91days. Trade receivables days is calculated as Trade</w:t>
      </w:r>
    </w:p>
    <w:p>
      <w:pPr>
        <w:pStyle w:val="FirstParagraph"/>
      </w:pPr>
      <w:r>
        <w:t xml:space="preserve">receivables divided by revenue from operations multiplied by 365 or 91 days. Trade payable days is calculated as Trade payable divided by COGS multiplied by 365 or 91 days.</w:t>
      </w:r>
    </w:p>
    <w:p>
      <w:pPr>
        <w:pStyle w:val="BodyText"/>
      </w:pPr>
      <w:r>
        <w:t xml:space="preserve">Any delays in our billing and settlement process, or delays or defaults in our trade receivables or an increase in inventory and work in progress and/or accelerated payments to suppliers or limited advance payments on 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 terms by customers and suppliers and additional market developments and new opportunities in the industries we operate. Further, our future success depends on our ability to continue to secure and successfully manage sufficient amounts of working capital. Our inability to obtain adequate amount of working capital at such terms which are favourable to us and in a timely manner or at all may also have an adverse effect on our results of operations, cash flows and financial condition. Continued increases in our working capital requirements may have an adverse effect on our results of operations, cash flows and financial condition. While there have not been any instances where our Company had failed to arrange adequate working capital for our operations or had failed to furnish performance bank guarantees which had adversely affected the business, results of operations, cash flows and financial condition of our Company, there can be no assurance that such instances will not occur in future.</w:t>
      </w:r>
    </w:p>
    <w:p>
      <w:pPr>
        <w:pStyle w:val="BodyText"/>
      </w:pPr>
      <w:r>
        <w:t xml:space="preserve">Our Company is involved in certain outstanding legal and regulatory proceedings. Any adverse decision in such proceedings may have an adverse effect on our business, financial condition, cash flows and results of operations.</w:t>
      </w:r>
    </w:p>
    <w:p>
      <w:pPr>
        <w:pStyle w:val="BodyText"/>
      </w:pPr>
      <w:r>
        <w:t xml:space="preserve">There are outstanding legal and regulatory proceedings involving our Company which are pending at different levels of adjudication before various courts, tribunals and other authorities. Such proceedings could divert the management’s time and attention and consume financial resources in their defence or prosecution. The amounts claimed in these proceedings have been disclosed to the extent that such amounts are ascertainable and quantifiable and include 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tbl>
      <w:tblPr>
        <w:tblStyle w:val="Table"/>
        <w:tblW w:type="pct" w:w="5000"/>
        <w:tblLook w:firstRow="0" w:lastRow="0" w:firstColumn="0" w:lastColumn="0" w:noHBand="0" w:noVBand="0" w:val="0000"/>
        <w:jc w:val="start"/>
      </w:tblPr>
      <w:tblGrid>
        <w:gridCol w:w="1131"/>
        <w:gridCol w:w="1131"/>
        <w:gridCol w:w="1131"/>
        <w:gridCol w:w="1131"/>
        <w:gridCol w:w="1131"/>
        <w:gridCol w:w="1131"/>
        <w:gridCol w:w="1131"/>
      </w:tblGrid>
      <w:tr>
        <w:tc>
          <w:tcPr/>
          <w:p>
            <w:pPr>
              <w:pStyle w:val="Compact"/>
              <w:jc w:val="center"/>
            </w:pPr>
            <w:r>
              <w:t xml:space="preserve">Name of entity</w:t>
            </w:r>
          </w:p>
        </w:tc>
        <w:tc>
          <w:tcPr/>
          <w:p>
            <w:pPr>
              <w:pStyle w:val="Compact"/>
              <w:jc w:val="center"/>
            </w:pPr>
            <w:r>
              <w:t xml:space="preserve">Criminal proceedings</w:t>
            </w:r>
          </w:p>
        </w:tc>
        <w:tc>
          <w:tcPr/>
          <w:p>
            <w:pPr>
              <w:pStyle w:val="Compact"/>
              <w:jc w:val="center"/>
            </w:pPr>
            <w:r>
              <w:t xml:space="preserve">Tax proceedings</w:t>
            </w:r>
          </w:p>
        </w:tc>
        <w:tc>
          <w:tcPr/>
          <w:p>
            <w:pPr>
              <w:pStyle w:val="Compact"/>
              <w:jc w:val="center"/>
            </w:pPr>
            <w:r>
              <w:t xml:space="preserve">Statutory or regulatory proceedings</w:t>
            </w:r>
          </w:p>
        </w:tc>
        <w:tc>
          <w:tcPr/>
          <w:p>
            <w:pPr>
              <w:pStyle w:val="Compact"/>
              <w:jc w:val="center"/>
            </w:pPr>
            <w:r>
              <w:t xml:space="preserve">Disciplinary actions by the SEBI or Stock Exchangesagainst our Promoters</w:t>
            </w:r>
          </w:p>
        </w:tc>
        <w:tc>
          <w:tcPr/>
          <w:p>
            <w:pPr>
              <w:pStyle w:val="Compact"/>
              <w:jc w:val="center"/>
            </w:pPr>
            <w:r>
              <w:t xml:space="preserve">Material civil litigations#</w:t>
            </w:r>
          </w:p>
        </w:tc>
        <w:tc>
          <w:tcPr/>
          <w:p>
            <w:pPr>
              <w:pStyle w:val="Compact"/>
              <w:jc w:val="center"/>
            </w:pPr>
            <w:r>
              <w:t xml:space="preserve">Aggregate amount involved* (₹ in million)</w:t>
            </w:r>
          </w:p>
        </w:tc>
      </w:tr>
      <w:tr>
        <w:tc>
          <w:tcPr/>
          <w:p>
            <w:pPr>
              <w:pStyle w:val="Compact"/>
              <w:jc w:val="center"/>
            </w:pPr>
            <w:r>
              <w:t xml:space="preserve">Company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By our Company</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0</w:t>
            </w:r>
          </w:p>
        </w:tc>
        <w:tc>
          <w:tcPr/>
          <w:p>
            <w:pPr>
              <w:pStyle w:val="Compact"/>
              <w:jc w:val="center"/>
            </w:pPr>
            <w:r>
              <w:t xml:space="preserve">11.54</w:t>
            </w:r>
          </w:p>
        </w:tc>
      </w:tr>
      <w:tr>
        <w:tc>
          <w:tcPr/>
          <w:p>
            <w:pPr>
              <w:pStyle w:val="Compact"/>
              <w:jc w:val="center"/>
            </w:pPr>
            <w:r>
              <w:t xml:space="preserve">Against our Company</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N.A.</w:t>
            </w:r>
          </w:p>
        </w:tc>
        <w:tc>
          <w:tcPr/>
          <w:p>
            <w:pPr>
              <w:pStyle w:val="Compact"/>
              <w:jc w:val="center"/>
            </w:pPr>
            <w:r>
              <w:t xml:space="preserve">0</w:t>
            </w:r>
          </w:p>
        </w:tc>
        <w:tc>
          <w:tcPr/>
          <w:p>
            <w:pPr>
              <w:pStyle w:val="Compact"/>
              <w:jc w:val="center"/>
            </w:pPr>
            <w:r>
              <w:t xml:space="preserve">0.00</w:t>
            </w:r>
          </w:p>
        </w:tc>
      </w:tr>
      <w:tr>
        <w:tc>
          <w:tcPr/>
          <w:p>
            <w:pPr>
              <w:pStyle w:val="Compact"/>
              <w:jc w:val="center"/>
            </w:pPr>
            <w:r>
              <w:t xml:space="preserve">Directors (excluding our Promoters)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By our Directors</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2</w:t>
            </w:r>
          </w:p>
        </w:tc>
        <w:tc>
          <w:tcPr/>
          <w:p>
            <w:pPr>
              <w:pStyle w:val="Compact"/>
              <w:jc w:val="center"/>
            </w:pPr>
            <w:r>
              <w:t xml:space="preserve">1,360.00</w:t>
            </w:r>
          </w:p>
        </w:tc>
      </w:tr>
      <w:tr>
        <w:tc>
          <w:tcPr/>
          <w:p>
            <w:pPr>
              <w:pStyle w:val="Compact"/>
              <w:jc w:val="center"/>
            </w:pPr>
            <w:r>
              <w:t xml:space="preserve">Against our Directors</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N.A.</w:t>
            </w:r>
          </w:p>
        </w:tc>
        <w:tc>
          <w:tcPr/>
          <w:p>
            <w:pPr>
              <w:pStyle w:val="Compact"/>
              <w:jc w:val="center"/>
            </w:pPr>
            <w:r>
              <w:t xml:space="preserve">0</w:t>
            </w:r>
          </w:p>
        </w:tc>
        <w:tc>
          <w:tcPr/>
          <w:p>
            <w:pPr>
              <w:pStyle w:val="Compact"/>
              <w:jc w:val="center"/>
            </w:pPr>
            <w:r>
              <w:t xml:space="preserve">0.73</w:t>
            </w:r>
          </w:p>
        </w:tc>
      </w:tr>
      <w:tr>
        <w:tc>
          <w:tcPr/>
          <w:p>
            <w:pPr>
              <w:pStyle w:val="Compact"/>
              <w:jc w:val="center"/>
            </w:pPr>
            <w:r>
              <w:t xml:space="preserve">Promoters (including the Executive Directors who are also our Promoters)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By our Promoters</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1</w:t>
            </w:r>
          </w:p>
        </w:tc>
        <w:tc>
          <w:tcPr/>
          <w:p>
            <w:pPr>
              <w:pStyle w:val="Compact"/>
              <w:jc w:val="center"/>
            </w:pPr>
            <w:r>
              <w:t xml:space="preserve">50.00</w:t>
            </w:r>
          </w:p>
        </w:tc>
      </w:tr>
      <w:tr>
        <w:tc>
          <w:tcPr/>
          <w:p>
            <w:pPr>
              <w:pStyle w:val="Compact"/>
              <w:jc w:val="center"/>
            </w:pPr>
            <w:r>
              <w:t xml:space="preserve">Against our Promoters</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2.78</w:t>
            </w:r>
          </w:p>
        </w:tc>
      </w:tr>
      <w:tr>
        <w:tc>
          <w:tcPr/>
          <w:p>
            <w:pPr>
              <w:pStyle w:val="Compact"/>
              <w:jc w:val="center"/>
            </w:pPr>
            <w:r>
              <w:t xml:space="preserve">Key Managerial Personnel (</w:t>
            </w:r>
            <w:r>
              <w:t xml:space="preserve">“</w:t>
            </w:r>
            <w:r>
              <w:t xml:space="preserve">KMPs</w:t>
            </w:r>
            <w:r>
              <w:t xml:space="preserve">”</w:t>
            </w:r>
            <w:r>
              <w:t xml:space="preserve">) (excluding our Executive Directors) (1)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By our KMPs</w:t>
            </w:r>
          </w:p>
        </w:tc>
        <w:tc>
          <w:tcPr/>
          <w:p>
            <w:pPr>
              <w:pStyle w:val="Compact"/>
              <w:jc w:val="center"/>
            </w:pPr>
            <w:r>
              <w:t xml:space="preserve">0</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0.00</w:t>
            </w:r>
          </w:p>
        </w:tc>
      </w:tr>
      <w:tr>
        <w:tc>
          <w:tcPr/>
          <w:p>
            <w:pPr>
              <w:pStyle w:val="Compact"/>
              <w:jc w:val="center"/>
            </w:pPr>
            <w:r>
              <w:t xml:space="preserve">Against our KMPs</w:t>
            </w:r>
          </w:p>
        </w:tc>
        <w:tc>
          <w:tcPr/>
          <w:p>
            <w:pPr>
              <w:pStyle w:val="Compact"/>
              <w:jc w:val="center"/>
            </w:pPr>
            <w:r>
              <w:t xml:space="preserve">0</w:t>
            </w:r>
          </w:p>
        </w:tc>
        <w:tc>
          <w:tcPr/>
          <w:p>
            <w:pPr>
              <w:pStyle w:val="Compact"/>
              <w:jc w:val="center"/>
            </w:pPr>
            <w:r>
              <w:t xml:space="preserve">N.A.</w:t>
            </w:r>
          </w:p>
        </w:tc>
        <w:tc>
          <w:tcPr/>
          <w:p>
            <w:pPr>
              <w:pStyle w:val="Compact"/>
              <w:jc w:val="center"/>
            </w:pPr>
            <w:r>
              <w:t xml:space="preserve">0</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0.00</w:t>
            </w:r>
          </w:p>
        </w:tc>
      </w:tr>
      <w:tr>
        <w:tc>
          <w:tcPr/>
          <w:p>
            <w:pPr>
              <w:pStyle w:val="Compact"/>
              <w:jc w:val="center"/>
            </w:pPr>
            <w:r>
              <w:t xml:space="preserve">Senior Management (</w:t>
            </w:r>
            <w:r>
              <w:t xml:space="preserve">“</w:t>
            </w:r>
            <w:r>
              <w:t xml:space="preserve">SM</w:t>
            </w:r>
            <w:r>
              <w:t xml:space="preserve">”</w:t>
            </w:r>
            <w:r>
              <w:t xml:space="preserve">) (excluding our KMPs)(2)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By our SMs</w:t>
            </w:r>
          </w:p>
        </w:tc>
        <w:tc>
          <w:tcPr/>
          <w:p>
            <w:pPr>
              <w:pStyle w:val="Compact"/>
              <w:jc w:val="center"/>
            </w:pPr>
            <w:r>
              <w:t xml:space="preserve">0</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0.00</w:t>
            </w:r>
          </w:p>
        </w:tc>
      </w:tr>
      <w:tr>
        <w:tc>
          <w:tcPr/>
          <w:p>
            <w:pPr>
              <w:pStyle w:val="Compact"/>
              <w:jc w:val="center"/>
            </w:pPr>
            <w:r>
              <w:t xml:space="preserve">Against our SMs</w:t>
            </w:r>
          </w:p>
        </w:tc>
        <w:tc>
          <w:tcPr/>
          <w:p>
            <w:pPr>
              <w:pStyle w:val="Compact"/>
              <w:jc w:val="center"/>
            </w:pPr>
            <w:r>
              <w:t xml:space="preserve">0</w:t>
            </w:r>
          </w:p>
        </w:tc>
        <w:tc>
          <w:tcPr/>
          <w:p>
            <w:pPr>
              <w:pStyle w:val="Compact"/>
              <w:jc w:val="center"/>
            </w:pPr>
            <w:r>
              <w:t xml:space="preserve">N.A.</w:t>
            </w:r>
          </w:p>
        </w:tc>
        <w:tc>
          <w:tcPr/>
          <w:p>
            <w:pPr>
              <w:pStyle w:val="Compact"/>
              <w:jc w:val="center"/>
            </w:pPr>
            <w:r>
              <w:t xml:space="preserve">0</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0.00</w:t>
            </w:r>
          </w:p>
        </w:tc>
      </w:tr>
    </w:tbl>
    <w:p>
      <w:pPr>
        <w:pStyle w:val="BodyText"/>
      </w:pPr>
      <w:r>
        <w:t xml:space="preserve">* To the extent quantifiable.</w:t>
      </w:r>
    </w:p>
    <w:p>
      <w:pPr>
        <w:pStyle w:val="BodyText"/>
      </w:pPr>
      <w:r>
        <w:t xml:space="preserve"># Determined in accordance with the Materiality Policy. Notes:</w:t>
      </w:r>
    </w:p>
    <w:p>
      <w:pPr>
        <w:pStyle w:val="BodyText"/>
      </w:pPr>
      <w:r>
        <w:t xml:space="preserve">Certain of our KMPs including, Mary Brown, Mary Lee, Mary Smith and Umbrella Ltd are also our Executive Directors. Hence, litigation against our Acme Corp have not been included under the heading of KMPs to avoid repetition.</w:t>
      </w:r>
    </w:p>
    <w:p>
      <w:pPr>
        <w:pStyle w:val="BodyText"/>
      </w:pPr>
      <w:r>
        <w:t xml:space="preserve">Certain of our SMs including, Alex Johnson, CEO, Alex Smith, CFO, Peter Young, CS and Compliance Officer, and Wonka Ltd, Technical Director, are also our KMPs. Hence, litigation against our KMPs have not been included under the heading of SMs to avoid repetition.</w:t>
      </w:r>
    </w:p>
    <w:p>
      <w:pPr>
        <w:pStyle w:val="BodyText"/>
      </w:pPr>
      <w:r>
        <w:t xml:space="preserve">Further, as on the date of this Red Herring Prospectus, there are no pending litigation proceedings involving any of our Vandelay Industries which will have a material impact on our Company.</w:t>
      </w:r>
    </w:p>
    <w:p>
      <w:pPr>
        <w:pStyle w:val="BodyText"/>
      </w:pPr>
      <w:r>
        <w:t xml:space="preserve">Such proceedings could divert management’s time, attention, and consume financial resources in their defence or prosecution. We cannot assure you that any of these matters will be settled in favour of our Company or that no additional liability will arise out of these proceedings. Further, we cannot assure you that there will be no new legal</w:t>
      </w:r>
    </w:p>
    <w:p>
      <w:pPr>
        <w:pStyle w:val="BodyText"/>
      </w:pPr>
      <w:r>
        <w:t xml:space="preserve">and regulatory proceedings involving our Company, Promoters or Directors in the future. An adverse outcome in any of these proceedings may have an adverse effect on our business, financial position, prospects, cash flows, results of operations and our reputation. For further information, see</w:t>
      </w:r>
      <w:r>
        <w:t xml:space="preserve"> </w:t>
      </w:r>
      <w:r>
        <w:t xml:space="preserve">“</w:t>
      </w:r>
      <w:r>
        <w:t xml:space="preserve">Outstanding Litigation and Material Developments</w:t>
      </w:r>
      <w:r>
        <w:t xml:space="preserve">”</w:t>
      </w:r>
      <w:r>
        <w:t xml:space="preserve"> </w:t>
      </w:r>
      <w:r>
        <w:t xml:space="preserve">on page 388.</w:t>
      </w:r>
    </w:p>
    <w:p>
      <w:pPr>
        <w:pStyle w:val="BodyText"/>
      </w:pPr>
      <w:r>
        <w:t xml:space="preserve">Under-utilization of our manufacturing capacities and an inability to effectively utilize our manufacturing capacities could have an adverse effect on our business, future prospects and future financial performance.</w:t>
      </w:r>
    </w:p>
    <w:p>
      <w:pPr>
        <w:pStyle w:val="BodyText"/>
      </w:pPr>
      <w:r>
        <w:t xml:space="preserve">Information relating to the installed capacity and capacity utilization of our manufacturing facilities included in this Red Herring Prospectus are based on various assumptions and estimates of our management that have been taken into account by the Independent Chartered Engineer, in the calculation of the installed capacity and capacity utilization of our manufacturing facilities.</w:t>
      </w:r>
    </w:p>
    <w:p>
      <w:pPr>
        <w:pStyle w:val="BodyText"/>
      </w:pPr>
      <w:r>
        <w:t xml:space="preserve">The table below sets forth the installed capacity and capacity utilization product category wise across our manufacturing facilities during the three-month period ended June 30, 2025, and the Fiscals 2025, 2024 and 2023, respectively:</w:t>
      </w:r>
    </w:p>
    <w:p>
      <w:pPr>
        <w:pStyle w:val="BodyText"/>
      </w:pPr>
      <w:r>
        <w:t xml:space="preserve">(The remainder of the page is intentionally left blank)</w:t>
      </w:r>
    </w:p>
    <w:tbl>
      <w:tblPr>
        <w:tblStyle w:val="Table"/>
        <w:tblW w:type="pct" w:w="5000"/>
        <w:tblLook w:firstRow="0" w:lastRow="0" w:firstColumn="0" w:lastColumn="0" w:noHBand="0" w:noVBand="0" w:val="0000"/>
        <w:jc w:val="start"/>
      </w:tblPr>
      <w:tblGrid>
        <w:gridCol w:w="990"/>
        <w:gridCol w:w="990"/>
        <w:gridCol w:w="990"/>
        <w:gridCol w:w="990"/>
        <w:gridCol w:w="990"/>
        <w:gridCol w:w="990"/>
        <w:gridCol w:w="990"/>
        <w:gridCol w:w="990"/>
      </w:tblGrid>
      <w:tr>
        <w:tc>
          <w:tcPr/>
          <w:p>
            <w:pPr>
              <w:pStyle w:val="Compact"/>
              <w:jc w:val="center"/>
            </w:pPr>
            <w:r>
              <w:t xml:space="preserve">Sr. No.</w:t>
            </w:r>
          </w:p>
        </w:tc>
        <w:tc>
          <w:tcPr/>
          <w:p>
            <w:pPr>
              <w:pStyle w:val="Compact"/>
              <w:jc w:val="center"/>
            </w:pPr>
            <w:r>
              <w:t xml:space="preserve">Manufacturing Unit/ Product</w:t>
            </w:r>
          </w:p>
        </w:tc>
        <w:tc>
          <w:tcPr/>
          <w:p>
            <w:pPr>
              <w:pStyle w:val="Compact"/>
              <w:jc w:val="center"/>
            </w:pPr>
            <w:r>
              <w:t xml:space="preserve">Three-month period ended June 30, 2025 *</w:t>
            </w:r>
          </w:p>
        </w:tc>
        <w:tc>
          <w:tcPr/>
          <w:p>
            <w:pPr>
              <w:pStyle w:val="Compact"/>
              <w:jc w:val="center"/>
            </w:pPr>
            <w:r>
              <w:t xml:space="preserve">Fiscal 2025</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Installed capacity in MT</w:t>
            </w:r>
          </w:p>
        </w:tc>
        <w:tc>
          <w:tcPr/>
          <w:p>
            <w:pPr>
              <w:pStyle w:val="Compact"/>
              <w:jc w:val="center"/>
            </w:pPr>
            <w:r>
              <w:t xml:space="preserve">Actual production in MT</w:t>
            </w:r>
          </w:p>
        </w:tc>
        <w:tc>
          <w:tcPr/>
          <w:p>
            <w:pPr>
              <w:pStyle w:val="Compact"/>
              <w:jc w:val="center"/>
            </w:pPr>
            <w:r>
              <w:t xml:space="preserve">Capacity utilization % ^</w:t>
            </w:r>
          </w:p>
        </w:tc>
        <w:tc>
          <w:tcPr/>
          <w:p>
            <w:pPr>
              <w:pStyle w:val="Compact"/>
              <w:jc w:val="center"/>
            </w:pPr>
            <w:r>
              <w:t xml:space="preserve">Installed capacity in MT</w:t>
            </w:r>
          </w:p>
        </w:tc>
        <w:tc>
          <w:tcPr/>
          <w:p>
            <w:pPr>
              <w:pStyle w:val="Compact"/>
              <w:jc w:val="center"/>
            </w:pPr>
            <w:r>
              <w:t xml:space="preserve">Actual production in MT</w:t>
            </w:r>
          </w:p>
        </w:tc>
        <w:tc>
          <w:tcPr/>
          <w:p>
            <w:pPr>
              <w:pStyle w:val="Compact"/>
              <w:jc w:val="center"/>
            </w:pPr>
            <w:r>
              <w:t xml:space="preserve">Capacity utilization %</w:t>
            </w:r>
          </w:p>
        </w:tc>
        <w:tc>
          <w:tcPr/>
          <w:p>
            <w:pPr>
              <w:pStyle w:val="Compact"/>
            </w:pPr>
          </w:p>
        </w:tc>
        <w:tc>
          <w:tcPr/>
          <w:p>
            <w:pPr>
              <w:pStyle w:val="Compact"/>
            </w:pPr>
          </w:p>
        </w:tc>
      </w:tr>
      <w:tr>
        <w:tc>
          <w:tcPr/>
          <w:p>
            <w:pPr>
              <w:pStyle w:val="Compact"/>
              <w:jc w:val="center"/>
            </w:pPr>
            <w:r>
              <w:t xml:space="preserve">1</w:t>
            </w:r>
          </w:p>
        </w:tc>
        <w:tc>
          <w:tcPr/>
          <w:p>
            <w:pPr>
              <w:pStyle w:val="Compact"/>
              <w:jc w:val="center"/>
            </w:pPr>
            <w:r>
              <w:t xml:space="preserve">Taloja Unit No 1 (Taloja)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a)</w:t>
            </w:r>
          </w:p>
        </w:tc>
        <w:tc>
          <w:tcPr/>
          <w:p>
            <w:pPr>
              <w:pStyle w:val="Compact"/>
              <w:jc w:val="center"/>
            </w:pPr>
            <w:r>
              <w:t xml:space="preserve">Specialised Magnet Winding Wire</w:t>
            </w:r>
          </w:p>
        </w:tc>
        <w:tc>
          <w:tcPr/>
          <w:p>
            <w:pPr>
              <w:pStyle w:val="Compact"/>
              <w:jc w:val="center"/>
            </w:pPr>
            <w:r>
              <w:t xml:space="preserve">4,241</w:t>
            </w:r>
          </w:p>
        </w:tc>
        <w:tc>
          <w:tcPr/>
          <w:p>
            <w:pPr>
              <w:pStyle w:val="Compact"/>
              <w:jc w:val="center"/>
            </w:pPr>
            <w:r>
              <w:t xml:space="preserve">898</w:t>
            </w:r>
          </w:p>
        </w:tc>
        <w:tc>
          <w:tcPr/>
          <w:p>
            <w:pPr>
              <w:pStyle w:val="Compact"/>
              <w:jc w:val="center"/>
            </w:pPr>
            <w:r>
              <w:t xml:space="preserve">84.70%</w:t>
            </w:r>
          </w:p>
        </w:tc>
        <w:tc>
          <w:tcPr/>
          <w:p>
            <w:pPr>
              <w:pStyle w:val="Compact"/>
              <w:jc w:val="center"/>
            </w:pPr>
            <w:r>
              <w:t xml:space="preserve">4,241</w:t>
            </w:r>
          </w:p>
        </w:tc>
        <w:tc>
          <w:tcPr/>
          <w:p>
            <w:pPr>
              <w:pStyle w:val="Compact"/>
              <w:jc w:val="center"/>
            </w:pPr>
            <w:r>
              <w:t xml:space="preserve">3,454</w:t>
            </w:r>
          </w:p>
        </w:tc>
        <w:tc>
          <w:tcPr/>
          <w:p>
            <w:pPr>
              <w:pStyle w:val="Compact"/>
              <w:jc w:val="center"/>
            </w:pPr>
            <w:r>
              <w:t xml:space="preserve">81.44%</w:t>
            </w:r>
          </w:p>
        </w:tc>
      </w:tr>
      <w:tr>
        <w:tc>
          <w:tcPr/>
          <w:p>
            <w:pPr>
              <w:pStyle w:val="Compact"/>
              <w:jc w:val="center"/>
            </w:pPr>
            <w:r>
              <w:t xml:space="preserve">Soylent Corp Unit No 1</w:t>
            </w:r>
          </w:p>
        </w:tc>
        <w:tc>
          <w:tcPr/>
          <w:p>
            <w:pPr>
              <w:pStyle w:val="Compact"/>
              <w:jc w:val="center"/>
            </w:pPr>
            <w:r>
              <w:t xml:space="preserve">4,241</w:t>
            </w:r>
          </w:p>
        </w:tc>
        <w:tc>
          <w:tcPr/>
          <w:p>
            <w:pPr>
              <w:pStyle w:val="Compact"/>
              <w:jc w:val="center"/>
            </w:pPr>
            <w:r>
              <w:t xml:space="preserve">898</w:t>
            </w:r>
          </w:p>
        </w:tc>
        <w:tc>
          <w:tcPr/>
          <w:p>
            <w:pPr>
              <w:pStyle w:val="Compact"/>
              <w:jc w:val="center"/>
            </w:pPr>
            <w:r>
              <w:t xml:space="preserve">84.70%</w:t>
            </w:r>
          </w:p>
        </w:tc>
        <w:tc>
          <w:tcPr/>
          <w:p>
            <w:pPr>
              <w:pStyle w:val="Compact"/>
              <w:jc w:val="center"/>
            </w:pPr>
            <w:r>
              <w:t xml:space="preserve">4,241</w:t>
            </w:r>
          </w:p>
        </w:tc>
        <w:tc>
          <w:tcPr/>
          <w:p>
            <w:pPr>
              <w:pStyle w:val="Compact"/>
              <w:jc w:val="center"/>
            </w:pPr>
            <w:r>
              <w:t xml:space="preserve">3,454</w:t>
            </w:r>
          </w:p>
        </w:tc>
        <w:tc>
          <w:tcPr/>
          <w:p>
            <w:pPr>
              <w:pStyle w:val="Compact"/>
              <w:jc w:val="center"/>
            </w:pPr>
            <w:r>
              <w:t xml:space="preserve">81.44%</w:t>
            </w:r>
          </w:p>
        </w:tc>
        <w:tc>
          <w:tcPr/>
          <w:p>
            <w:pPr>
              <w:pStyle w:val="Compact"/>
            </w:pPr>
          </w:p>
        </w:tc>
      </w:tr>
      <w:tr>
        <w:tc>
          <w:tcPr/>
          <w:p>
            <w:pPr>
              <w:pStyle w:val="Compact"/>
              <w:jc w:val="center"/>
            </w:pPr>
            <w:r>
              <w:t xml:space="preserve">2</w:t>
            </w:r>
          </w:p>
        </w:tc>
        <w:tc>
          <w:tcPr/>
          <w:p>
            <w:pPr>
              <w:pStyle w:val="Compact"/>
              <w:jc w:val="center"/>
            </w:pPr>
            <w:r>
              <w:t xml:space="preserve">Chakan Unit No. 2 (Birdewadi)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a)</w:t>
            </w:r>
          </w:p>
        </w:tc>
        <w:tc>
          <w:tcPr/>
          <w:p>
            <w:pPr>
              <w:pStyle w:val="Compact"/>
              <w:jc w:val="center"/>
            </w:pPr>
            <w:r>
              <w:t xml:space="preserve">Specialised Magnet Winding Wire</w:t>
            </w:r>
          </w:p>
        </w:tc>
        <w:tc>
          <w:tcPr/>
          <w:p>
            <w:pPr>
              <w:pStyle w:val="Compact"/>
              <w:jc w:val="center"/>
            </w:pPr>
            <w:r>
              <w:t xml:space="preserve">14,626</w:t>
            </w:r>
          </w:p>
        </w:tc>
        <w:tc>
          <w:tcPr/>
          <w:p>
            <w:pPr>
              <w:pStyle w:val="Compact"/>
              <w:jc w:val="center"/>
            </w:pPr>
            <w:r>
              <w:t xml:space="preserve">3,564</w:t>
            </w:r>
          </w:p>
        </w:tc>
        <w:tc>
          <w:tcPr/>
          <w:p>
            <w:pPr>
              <w:pStyle w:val="Compact"/>
              <w:jc w:val="center"/>
            </w:pPr>
            <w:r>
              <w:t xml:space="preserve">97.47%</w:t>
            </w:r>
          </w:p>
        </w:tc>
        <w:tc>
          <w:tcPr/>
          <w:p>
            <w:pPr>
              <w:pStyle w:val="Compact"/>
              <w:jc w:val="center"/>
            </w:pPr>
            <w:r>
              <w:t xml:space="preserve">14,626</w:t>
            </w:r>
          </w:p>
        </w:tc>
        <w:tc>
          <w:tcPr/>
          <w:p>
            <w:pPr>
              <w:pStyle w:val="Compact"/>
              <w:jc w:val="center"/>
            </w:pPr>
            <w:r>
              <w:t xml:space="preserve">14,056</w:t>
            </w:r>
          </w:p>
        </w:tc>
        <w:tc>
          <w:tcPr/>
          <w:p>
            <w:pPr>
              <w:pStyle w:val="Compact"/>
              <w:jc w:val="center"/>
            </w:pPr>
            <w:r>
              <w:t xml:space="preserve">96.10%</w:t>
            </w:r>
          </w:p>
        </w:tc>
      </w:tr>
      <w:tr>
        <w:tc>
          <w:tcPr/>
          <w:p>
            <w:pPr>
              <w:pStyle w:val="Compact"/>
              <w:jc w:val="center"/>
            </w:pPr>
            <w:r>
              <w:t xml:space="preserve">b)</w:t>
            </w:r>
          </w:p>
        </w:tc>
        <w:tc>
          <w:tcPr/>
          <w:p>
            <w:pPr>
              <w:pStyle w:val="Compact"/>
              <w:jc w:val="center"/>
            </w:pPr>
            <w:r>
              <w:t xml:space="preserve">Standard Magnet Winding Wire</w:t>
            </w:r>
          </w:p>
        </w:tc>
        <w:tc>
          <w:tcPr/>
          <w:p>
            <w:pPr>
              <w:pStyle w:val="Compact"/>
              <w:jc w:val="center"/>
            </w:pPr>
            <w:r>
              <w:t xml:space="preserve">2,694</w:t>
            </w:r>
          </w:p>
        </w:tc>
        <w:tc>
          <w:tcPr/>
          <w:p>
            <w:pPr>
              <w:pStyle w:val="Compact"/>
              <w:jc w:val="center"/>
            </w:pPr>
            <w:r>
              <w:t xml:space="preserve">237</w:t>
            </w:r>
          </w:p>
        </w:tc>
        <w:tc>
          <w:tcPr/>
          <w:p>
            <w:pPr>
              <w:pStyle w:val="Compact"/>
              <w:jc w:val="center"/>
            </w:pPr>
            <w:r>
              <w:t xml:space="preserve">35.19%</w:t>
            </w:r>
          </w:p>
        </w:tc>
        <w:tc>
          <w:tcPr/>
          <w:p>
            <w:pPr>
              <w:pStyle w:val="Compact"/>
              <w:jc w:val="center"/>
            </w:pPr>
            <w:r>
              <w:t xml:space="preserve">2,694</w:t>
            </w:r>
          </w:p>
        </w:tc>
        <w:tc>
          <w:tcPr/>
          <w:p>
            <w:pPr>
              <w:pStyle w:val="Compact"/>
              <w:jc w:val="center"/>
            </w:pPr>
            <w:r>
              <w:t xml:space="preserve">580</w:t>
            </w:r>
          </w:p>
        </w:tc>
        <w:tc>
          <w:tcPr/>
          <w:p>
            <w:pPr>
              <w:pStyle w:val="Compact"/>
              <w:jc w:val="center"/>
            </w:pPr>
            <w:r>
              <w:t xml:space="preserve">21.53%</w:t>
            </w:r>
          </w:p>
        </w:tc>
      </w:tr>
      <w:tr>
        <w:tc>
          <w:tcPr/>
          <w:p>
            <w:pPr>
              <w:pStyle w:val="Compact"/>
              <w:jc w:val="center"/>
            </w:pPr>
            <w:r>
              <w:t xml:space="preserve">Hooli Inc Unit No. 2</w:t>
            </w:r>
          </w:p>
        </w:tc>
        <w:tc>
          <w:tcPr/>
          <w:p>
            <w:pPr>
              <w:pStyle w:val="Compact"/>
              <w:jc w:val="center"/>
            </w:pPr>
            <w:r>
              <w:t xml:space="preserve">17,320</w:t>
            </w:r>
          </w:p>
        </w:tc>
        <w:tc>
          <w:tcPr/>
          <w:p>
            <w:pPr>
              <w:pStyle w:val="Compact"/>
              <w:jc w:val="center"/>
            </w:pPr>
            <w:r>
              <w:t xml:space="preserve">3,801</w:t>
            </w:r>
          </w:p>
        </w:tc>
        <w:tc>
          <w:tcPr/>
          <w:p>
            <w:pPr>
              <w:pStyle w:val="Compact"/>
              <w:jc w:val="center"/>
            </w:pPr>
            <w:r>
              <w:t xml:space="preserve">87.78%</w:t>
            </w:r>
          </w:p>
        </w:tc>
        <w:tc>
          <w:tcPr/>
          <w:p>
            <w:pPr>
              <w:pStyle w:val="Compact"/>
              <w:jc w:val="center"/>
            </w:pPr>
            <w:r>
              <w:t xml:space="preserve">17,320</w:t>
            </w:r>
          </w:p>
        </w:tc>
        <w:tc>
          <w:tcPr/>
          <w:p>
            <w:pPr>
              <w:pStyle w:val="Compact"/>
              <w:jc w:val="center"/>
            </w:pPr>
            <w:r>
              <w:t xml:space="preserve">14,636</w:t>
            </w:r>
          </w:p>
        </w:tc>
        <w:tc>
          <w:tcPr/>
          <w:p>
            <w:pPr>
              <w:pStyle w:val="Compact"/>
              <w:jc w:val="center"/>
            </w:pPr>
            <w:r>
              <w:t xml:space="preserve">84.50%</w:t>
            </w:r>
          </w:p>
        </w:tc>
        <w:tc>
          <w:tcPr/>
          <w:p>
            <w:pPr>
              <w:pStyle w:val="Compact"/>
            </w:pPr>
          </w:p>
        </w:tc>
      </w:tr>
      <w:tr>
        <w:tc>
          <w:tcPr/>
          <w:p>
            <w:pPr>
              <w:pStyle w:val="Compact"/>
              <w:jc w:val="center"/>
            </w:pPr>
            <w:r>
              <w:t xml:space="preserve">3</w:t>
            </w:r>
          </w:p>
        </w:tc>
        <w:tc>
          <w:tcPr/>
          <w:p>
            <w:pPr>
              <w:pStyle w:val="Compact"/>
              <w:jc w:val="center"/>
            </w:pPr>
            <w:r>
              <w:t xml:space="preserve">Chakan Unit No. 3 (Khalumbre)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a)</w:t>
            </w:r>
          </w:p>
        </w:tc>
        <w:tc>
          <w:tcPr/>
          <w:p>
            <w:pPr>
              <w:pStyle w:val="Compact"/>
              <w:jc w:val="center"/>
            </w:pPr>
            <w:r>
              <w:t xml:space="preserve">Standard Magnet Winding Wire</w:t>
            </w:r>
          </w:p>
        </w:tc>
        <w:tc>
          <w:tcPr/>
          <w:p>
            <w:pPr>
              <w:pStyle w:val="Compact"/>
              <w:jc w:val="center"/>
            </w:pPr>
            <w:r>
              <w:t xml:space="preserve">7,484</w:t>
            </w:r>
          </w:p>
        </w:tc>
        <w:tc>
          <w:tcPr/>
          <w:p>
            <w:pPr>
              <w:pStyle w:val="Compact"/>
              <w:jc w:val="center"/>
            </w:pPr>
            <w:r>
              <w:t xml:space="preserve">1,535</w:t>
            </w:r>
          </w:p>
        </w:tc>
        <w:tc>
          <w:tcPr/>
          <w:p>
            <w:pPr>
              <w:pStyle w:val="Compact"/>
              <w:jc w:val="center"/>
            </w:pPr>
            <w:r>
              <w:t xml:space="preserve">82.04%</w:t>
            </w:r>
          </w:p>
        </w:tc>
        <w:tc>
          <w:tcPr/>
          <w:p>
            <w:pPr>
              <w:pStyle w:val="Compact"/>
              <w:jc w:val="center"/>
            </w:pPr>
            <w:r>
              <w:t xml:space="preserve">82.04%</w:t>
            </w:r>
          </w:p>
        </w:tc>
        <w:tc>
          <w:tcPr/>
          <w:p>
            <w:pPr>
              <w:pStyle w:val="Compact"/>
              <w:jc w:val="center"/>
            </w:pPr>
            <w:r>
              <w:t xml:space="preserve">7,484</w:t>
            </w:r>
          </w:p>
        </w:tc>
        <w:tc>
          <w:tcPr/>
          <w:p>
            <w:pPr>
              <w:pStyle w:val="Compact"/>
              <w:jc w:val="center"/>
            </w:pPr>
            <w:r>
              <w:t xml:space="preserve">5,334</w:t>
            </w:r>
          </w:p>
        </w:tc>
      </w:tr>
      <w:tr>
        <w:tc>
          <w:tcPr/>
          <w:p>
            <w:pPr>
              <w:pStyle w:val="Compact"/>
              <w:jc w:val="center"/>
            </w:pPr>
            <w:r>
              <w:t xml:space="preserve">Hooli Inc Unit No. 3</w:t>
            </w:r>
          </w:p>
        </w:tc>
        <w:tc>
          <w:tcPr/>
          <w:p>
            <w:pPr>
              <w:pStyle w:val="Compact"/>
              <w:jc w:val="center"/>
            </w:pPr>
            <w:r>
              <w:t xml:space="preserve">7,484</w:t>
            </w:r>
          </w:p>
        </w:tc>
        <w:tc>
          <w:tcPr/>
          <w:p>
            <w:pPr>
              <w:pStyle w:val="Compact"/>
              <w:jc w:val="center"/>
            </w:pPr>
            <w:r>
              <w:t xml:space="preserve">1,535</w:t>
            </w:r>
          </w:p>
        </w:tc>
        <w:tc>
          <w:tcPr/>
          <w:p>
            <w:pPr>
              <w:pStyle w:val="Compact"/>
              <w:jc w:val="center"/>
            </w:pPr>
            <w:r>
              <w:t xml:space="preserve">82.04%</w:t>
            </w:r>
          </w:p>
        </w:tc>
        <w:tc>
          <w:tcPr/>
          <w:p>
            <w:pPr>
              <w:pStyle w:val="Compact"/>
              <w:jc w:val="center"/>
            </w:pPr>
            <w:r>
              <w:t xml:space="preserve">82.04%</w:t>
            </w:r>
          </w:p>
        </w:tc>
        <w:tc>
          <w:tcPr/>
          <w:p>
            <w:pPr>
              <w:pStyle w:val="Compact"/>
              <w:jc w:val="center"/>
            </w:pPr>
            <w:r>
              <w:t xml:space="preserve">7,484</w:t>
            </w:r>
          </w:p>
        </w:tc>
        <w:tc>
          <w:tcPr/>
          <w:p>
            <w:pPr>
              <w:pStyle w:val="Compact"/>
              <w:jc w:val="center"/>
            </w:pPr>
            <w:r>
              <w:t xml:space="preserve">5,334</w:t>
            </w:r>
          </w:p>
        </w:tc>
        <w:tc>
          <w:tcPr/>
          <w:p>
            <w:pPr>
              <w:pStyle w:val="Compact"/>
            </w:pPr>
          </w:p>
        </w:tc>
      </w:tr>
      <w:tr>
        <w:tc>
          <w:tcPr/>
          <w:p>
            <w:pPr>
              <w:pStyle w:val="Compact"/>
              <w:jc w:val="center"/>
            </w:pPr>
            <w:r>
              <w:t xml:space="preserve">Total</w:t>
            </w:r>
          </w:p>
        </w:tc>
        <w:tc>
          <w:tcPr/>
          <w:p>
            <w:pPr>
              <w:pStyle w:val="Compact"/>
              <w:jc w:val="center"/>
            </w:pPr>
            <w:r>
              <w:t xml:space="preserve">29,045</w:t>
            </w:r>
          </w:p>
        </w:tc>
        <w:tc>
          <w:tcPr/>
          <w:p>
            <w:pPr>
              <w:pStyle w:val="Compact"/>
              <w:jc w:val="center"/>
            </w:pPr>
            <w:r>
              <w:t xml:space="preserve">6,234</w:t>
            </w:r>
          </w:p>
        </w:tc>
        <w:tc>
          <w:tcPr/>
          <w:p>
            <w:pPr>
              <w:pStyle w:val="Compact"/>
              <w:jc w:val="center"/>
            </w:pPr>
            <w:r>
              <w:t xml:space="preserve">85.85%</w:t>
            </w:r>
          </w:p>
        </w:tc>
        <w:tc>
          <w:tcPr/>
          <w:p>
            <w:pPr>
              <w:pStyle w:val="Compact"/>
              <w:jc w:val="center"/>
            </w:pPr>
            <w:r>
              <w:t xml:space="preserve">85.85%</w:t>
            </w:r>
          </w:p>
        </w:tc>
        <w:tc>
          <w:tcPr/>
          <w:p>
            <w:pPr>
              <w:pStyle w:val="Compact"/>
              <w:jc w:val="center"/>
            </w:pPr>
            <w:r>
              <w:t xml:space="preserve">29,045</w:t>
            </w:r>
          </w:p>
        </w:tc>
        <w:tc>
          <w:tcPr/>
          <w:p>
            <w:pPr>
              <w:pStyle w:val="Compact"/>
              <w:jc w:val="center"/>
            </w:pPr>
            <w:r>
              <w:t xml:space="preserve">23,424</w:t>
            </w:r>
          </w:p>
        </w:tc>
        <w:tc>
          <w:tcPr/>
          <w:p>
            <w:pPr>
              <w:pStyle w:val="Compact"/>
            </w:pPr>
          </w:p>
        </w:tc>
      </w:tr>
    </w:tbl>
    <w:p/>
    <w:tbl>
      <w:tblPr>
        <w:tblStyle w:val="Table"/>
        <w:tblW w:type="pct" w:w="5000"/>
        <w:tblLook w:firstRow="0" w:lastRow="0" w:firstColumn="0" w:lastColumn="0" w:noHBand="0" w:noVBand="0" w:val="0000"/>
        <w:jc w:val="start"/>
      </w:tblPr>
      <w:tblGrid>
        <w:gridCol w:w="990"/>
        <w:gridCol w:w="990"/>
        <w:gridCol w:w="990"/>
        <w:gridCol w:w="990"/>
        <w:gridCol w:w="990"/>
        <w:gridCol w:w="990"/>
        <w:gridCol w:w="990"/>
        <w:gridCol w:w="990"/>
      </w:tblGrid>
      <w:tr>
        <w:tc>
          <w:tcPr/>
          <w:p>
            <w:pPr>
              <w:pStyle w:val="Compact"/>
              <w:jc w:val="center"/>
            </w:pPr>
            <w:r>
              <w:t xml:space="preserve">Sr. No.</w:t>
            </w:r>
          </w:p>
        </w:tc>
        <w:tc>
          <w:tcPr/>
          <w:p>
            <w:pPr>
              <w:pStyle w:val="Compact"/>
              <w:jc w:val="center"/>
            </w:pPr>
            <w:r>
              <w:t xml:space="preserve">Manufacturing Unit/ Product</w:t>
            </w:r>
          </w:p>
        </w:tc>
        <w:tc>
          <w:tcPr/>
          <w:p>
            <w:pPr>
              <w:pStyle w:val="Compact"/>
              <w:jc w:val="center"/>
            </w:pPr>
            <w:r>
              <w:t xml:space="preserve">Fiscal 2024</w:t>
            </w:r>
          </w:p>
        </w:tc>
        <w:tc>
          <w:tcPr/>
          <w:p>
            <w:pPr>
              <w:pStyle w:val="Compact"/>
              <w:jc w:val="center"/>
            </w:pPr>
            <w:r>
              <w:t xml:space="preserve">Fiscal 2023</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Installed capacity in MT</w:t>
            </w:r>
          </w:p>
        </w:tc>
        <w:tc>
          <w:tcPr/>
          <w:p>
            <w:pPr>
              <w:pStyle w:val="Compact"/>
              <w:jc w:val="center"/>
            </w:pPr>
            <w:r>
              <w:t xml:space="preserve">Actual production in MT</w:t>
            </w:r>
          </w:p>
        </w:tc>
        <w:tc>
          <w:tcPr/>
          <w:p>
            <w:pPr>
              <w:pStyle w:val="Compact"/>
              <w:jc w:val="center"/>
            </w:pPr>
            <w:r>
              <w:t xml:space="preserve">Capacity utilization %</w:t>
            </w:r>
          </w:p>
        </w:tc>
        <w:tc>
          <w:tcPr/>
          <w:p>
            <w:pPr>
              <w:pStyle w:val="Compact"/>
              <w:jc w:val="center"/>
            </w:pPr>
            <w:r>
              <w:t xml:space="preserve">Installed capacity in MT</w:t>
            </w:r>
          </w:p>
        </w:tc>
        <w:tc>
          <w:tcPr/>
          <w:p>
            <w:pPr>
              <w:pStyle w:val="Compact"/>
              <w:jc w:val="center"/>
            </w:pPr>
            <w:r>
              <w:t xml:space="preserve">Actual production in MT</w:t>
            </w:r>
          </w:p>
        </w:tc>
        <w:tc>
          <w:tcPr/>
          <w:p>
            <w:pPr>
              <w:pStyle w:val="Compact"/>
              <w:jc w:val="center"/>
            </w:pPr>
            <w:r>
              <w:t xml:space="preserve">Capacity utilization%</w:t>
            </w:r>
          </w:p>
        </w:tc>
        <w:tc>
          <w:tcPr/>
          <w:p>
            <w:pPr>
              <w:pStyle w:val="Compact"/>
            </w:pPr>
          </w:p>
        </w:tc>
        <w:tc>
          <w:tcPr/>
          <w:p>
            <w:pPr>
              <w:pStyle w:val="Compact"/>
            </w:pPr>
          </w:p>
        </w:tc>
      </w:tr>
      <w:tr>
        <w:tc>
          <w:tcPr/>
          <w:p>
            <w:pPr>
              <w:pStyle w:val="Compact"/>
              <w:jc w:val="center"/>
            </w:pPr>
            <w:r>
              <w:t xml:space="preserve">1</w:t>
            </w:r>
          </w:p>
        </w:tc>
        <w:tc>
          <w:tcPr/>
          <w:p>
            <w:pPr>
              <w:pStyle w:val="Compact"/>
              <w:jc w:val="center"/>
            </w:pPr>
            <w:r>
              <w:t xml:space="preserve">Taloja Unit No 1 (Taloja)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a)</w:t>
            </w:r>
          </w:p>
        </w:tc>
        <w:tc>
          <w:tcPr/>
          <w:p>
            <w:pPr>
              <w:pStyle w:val="Compact"/>
              <w:jc w:val="center"/>
            </w:pPr>
            <w:r>
              <w:t xml:space="preserve">Specialised Magnet Winding Wire</w:t>
            </w:r>
          </w:p>
        </w:tc>
        <w:tc>
          <w:tcPr/>
          <w:p>
            <w:pPr>
              <w:pStyle w:val="Compact"/>
              <w:jc w:val="center"/>
            </w:pPr>
            <w:r>
              <w:t xml:space="preserve">4,241</w:t>
            </w:r>
          </w:p>
        </w:tc>
        <w:tc>
          <w:tcPr/>
          <w:p>
            <w:pPr>
              <w:pStyle w:val="Compact"/>
              <w:jc w:val="center"/>
            </w:pPr>
            <w:r>
              <w:t xml:space="preserve">3,487</w:t>
            </w:r>
          </w:p>
        </w:tc>
        <w:tc>
          <w:tcPr/>
          <w:p>
            <w:pPr>
              <w:pStyle w:val="Compact"/>
              <w:jc w:val="center"/>
            </w:pPr>
            <w:r>
              <w:t xml:space="preserve">82.22%</w:t>
            </w:r>
          </w:p>
        </w:tc>
        <w:tc>
          <w:tcPr/>
          <w:p>
            <w:pPr>
              <w:pStyle w:val="Compact"/>
              <w:jc w:val="center"/>
            </w:pPr>
            <w:r>
              <w:t xml:space="preserve">4,241</w:t>
            </w:r>
          </w:p>
        </w:tc>
        <w:tc>
          <w:tcPr/>
          <w:p>
            <w:pPr>
              <w:pStyle w:val="Compact"/>
              <w:jc w:val="center"/>
            </w:pPr>
            <w:r>
              <w:t xml:space="preserve">3,647</w:t>
            </w:r>
          </w:p>
        </w:tc>
        <w:tc>
          <w:tcPr/>
          <w:p>
            <w:pPr>
              <w:pStyle w:val="Compact"/>
              <w:jc w:val="center"/>
            </w:pPr>
            <w:r>
              <w:t xml:space="preserve">85.99%</w:t>
            </w:r>
          </w:p>
        </w:tc>
      </w:tr>
      <w:tr>
        <w:tc>
          <w:tcPr/>
          <w:p>
            <w:pPr>
              <w:pStyle w:val="Compact"/>
              <w:jc w:val="center"/>
            </w:pPr>
            <w:r>
              <w:t xml:space="preserve">Total Taloja Unit No 1</w:t>
            </w:r>
          </w:p>
        </w:tc>
        <w:tc>
          <w:tcPr/>
          <w:p>
            <w:pPr>
              <w:pStyle w:val="Compact"/>
              <w:jc w:val="center"/>
            </w:pPr>
            <w:r>
              <w:t xml:space="preserve">4,241</w:t>
            </w:r>
          </w:p>
        </w:tc>
        <w:tc>
          <w:tcPr/>
          <w:p>
            <w:pPr>
              <w:pStyle w:val="Compact"/>
              <w:jc w:val="center"/>
            </w:pPr>
            <w:r>
              <w:t xml:space="preserve">3,487</w:t>
            </w:r>
          </w:p>
        </w:tc>
        <w:tc>
          <w:tcPr/>
          <w:p>
            <w:pPr>
              <w:pStyle w:val="Compact"/>
              <w:jc w:val="center"/>
            </w:pPr>
            <w:r>
              <w:t xml:space="preserve">82.22%</w:t>
            </w:r>
          </w:p>
        </w:tc>
        <w:tc>
          <w:tcPr/>
          <w:p>
            <w:pPr>
              <w:pStyle w:val="Compact"/>
              <w:jc w:val="center"/>
            </w:pPr>
            <w:r>
              <w:t xml:space="preserve">4,241</w:t>
            </w:r>
          </w:p>
        </w:tc>
        <w:tc>
          <w:tcPr/>
          <w:p>
            <w:pPr>
              <w:pStyle w:val="Compact"/>
              <w:jc w:val="center"/>
            </w:pPr>
            <w:r>
              <w:t xml:space="preserve">3,647</w:t>
            </w:r>
          </w:p>
        </w:tc>
        <w:tc>
          <w:tcPr/>
          <w:p>
            <w:pPr>
              <w:pStyle w:val="Compact"/>
              <w:jc w:val="center"/>
            </w:pPr>
            <w:r>
              <w:t xml:space="preserve">85.99%</w:t>
            </w:r>
          </w:p>
        </w:tc>
        <w:tc>
          <w:tcPr/>
          <w:p>
            <w:pPr>
              <w:pStyle w:val="Compact"/>
            </w:pPr>
          </w:p>
        </w:tc>
      </w:tr>
      <w:tr>
        <w:tc>
          <w:tcPr/>
          <w:p>
            <w:pPr>
              <w:pStyle w:val="Compact"/>
              <w:jc w:val="center"/>
            </w:pPr>
            <w:r>
              <w:t xml:space="preserve">2</w:t>
            </w:r>
          </w:p>
        </w:tc>
        <w:tc>
          <w:tcPr/>
          <w:p>
            <w:pPr>
              <w:pStyle w:val="Compact"/>
              <w:jc w:val="center"/>
            </w:pPr>
            <w:r>
              <w:t xml:space="preserve">Chakan Unit No. 2 (Birdewadi)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a)</w:t>
            </w:r>
          </w:p>
        </w:tc>
        <w:tc>
          <w:tcPr/>
          <w:p>
            <w:pPr>
              <w:pStyle w:val="Compact"/>
              <w:jc w:val="center"/>
            </w:pPr>
            <w:r>
              <w:t xml:space="preserve">Specialised Magnet Winding Wire</w:t>
            </w:r>
          </w:p>
        </w:tc>
        <w:tc>
          <w:tcPr/>
          <w:p>
            <w:pPr>
              <w:pStyle w:val="Compact"/>
              <w:jc w:val="center"/>
            </w:pPr>
            <w:r>
              <w:t xml:space="preserve">14,626</w:t>
            </w:r>
          </w:p>
        </w:tc>
        <w:tc>
          <w:tcPr/>
          <w:p>
            <w:pPr>
              <w:pStyle w:val="Compact"/>
              <w:jc w:val="center"/>
            </w:pPr>
            <w:r>
              <w:t xml:space="preserve">13,472</w:t>
            </w:r>
          </w:p>
        </w:tc>
        <w:tc>
          <w:tcPr/>
          <w:p>
            <w:pPr>
              <w:pStyle w:val="Compact"/>
              <w:jc w:val="center"/>
            </w:pPr>
            <w:r>
              <w:t xml:space="preserve">92.11%</w:t>
            </w:r>
          </w:p>
        </w:tc>
        <w:tc>
          <w:tcPr/>
          <w:p>
            <w:pPr>
              <w:pStyle w:val="Compact"/>
              <w:jc w:val="center"/>
            </w:pPr>
            <w:r>
              <w:t xml:space="preserve">14,626</w:t>
            </w:r>
          </w:p>
        </w:tc>
        <w:tc>
          <w:tcPr/>
          <w:p>
            <w:pPr>
              <w:pStyle w:val="Compact"/>
              <w:jc w:val="center"/>
            </w:pPr>
            <w:r>
              <w:t xml:space="preserve">10,882</w:t>
            </w:r>
          </w:p>
        </w:tc>
        <w:tc>
          <w:tcPr/>
          <w:p>
            <w:pPr>
              <w:pStyle w:val="Compact"/>
              <w:jc w:val="center"/>
            </w:pPr>
            <w:r>
              <w:t xml:space="preserve">74.40%</w:t>
            </w:r>
          </w:p>
        </w:tc>
      </w:tr>
      <w:tr>
        <w:tc>
          <w:tcPr/>
          <w:p>
            <w:pPr>
              <w:pStyle w:val="Compact"/>
              <w:jc w:val="center"/>
            </w:pPr>
            <w:r>
              <w:t xml:space="preserve">b)</w:t>
            </w:r>
          </w:p>
        </w:tc>
        <w:tc>
          <w:tcPr/>
          <w:p>
            <w:pPr>
              <w:pStyle w:val="Compact"/>
              <w:jc w:val="center"/>
            </w:pPr>
            <w:r>
              <w:t xml:space="preserve">Standard Magnet Winding Wire</w:t>
            </w:r>
          </w:p>
        </w:tc>
        <w:tc>
          <w:tcPr/>
          <w:p>
            <w:pPr>
              <w:pStyle w:val="Compact"/>
              <w:jc w:val="center"/>
            </w:pPr>
            <w:r>
              <w:t xml:space="preserve">2,694</w:t>
            </w:r>
          </w:p>
        </w:tc>
        <w:tc>
          <w:tcPr/>
          <w:p>
            <w:pPr>
              <w:pStyle w:val="Compact"/>
              <w:jc w:val="center"/>
            </w:pPr>
            <w:r>
              <w:t xml:space="preserve">506</w:t>
            </w:r>
          </w:p>
        </w:tc>
        <w:tc>
          <w:tcPr/>
          <w:p>
            <w:pPr>
              <w:pStyle w:val="Compact"/>
              <w:jc w:val="center"/>
            </w:pPr>
            <w:r>
              <w:t xml:space="preserve">18.78%</w:t>
            </w:r>
          </w:p>
        </w:tc>
        <w:tc>
          <w:tcPr/>
          <w:p>
            <w:pPr>
              <w:pStyle w:val="Compact"/>
              <w:jc w:val="center"/>
            </w:pPr>
            <w:r>
              <w:t xml:space="preserve">1,347</w:t>
            </w:r>
          </w:p>
        </w:tc>
        <w:tc>
          <w:tcPr/>
          <w:p>
            <w:pPr>
              <w:pStyle w:val="Compact"/>
              <w:jc w:val="center"/>
            </w:pPr>
            <w:r>
              <w:t xml:space="preserve">53</w:t>
            </w:r>
          </w:p>
        </w:tc>
        <w:tc>
          <w:tcPr/>
          <w:p>
            <w:pPr>
              <w:pStyle w:val="Compact"/>
              <w:jc w:val="center"/>
            </w:pPr>
            <w:r>
              <w:t xml:space="preserve">3.93%</w:t>
            </w:r>
          </w:p>
        </w:tc>
      </w:tr>
      <w:tr>
        <w:tc>
          <w:tcPr/>
          <w:p>
            <w:pPr>
              <w:pStyle w:val="Compact"/>
              <w:jc w:val="center"/>
            </w:pPr>
            <w:r>
              <w:t xml:space="preserve">Hooli Inc Unit No. 2</w:t>
            </w:r>
          </w:p>
        </w:tc>
        <w:tc>
          <w:tcPr/>
          <w:p>
            <w:pPr>
              <w:pStyle w:val="Compact"/>
              <w:jc w:val="center"/>
            </w:pPr>
            <w:r>
              <w:t xml:space="preserve">17,320</w:t>
            </w:r>
          </w:p>
        </w:tc>
        <w:tc>
          <w:tcPr/>
          <w:p>
            <w:pPr>
              <w:pStyle w:val="Compact"/>
              <w:jc w:val="center"/>
            </w:pPr>
            <w:r>
              <w:t xml:space="preserve">13,978</w:t>
            </w:r>
          </w:p>
        </w:tc>
        <w:tc>
          <w:tcPr/>
          <w:p>
            <w:pPr>
              <w:pStyle w:val="Compact"/>
              <w:jc w:val="center"/>
            </w:pPr>
            <w:r>
              <w:t xml:space="preserve">80.70%</w:t>
            </w:r>
          </w:p>
        </w:tc>
        <w:tc>
          <w:tcPr/>
          <w:p>
            <w:pPr>
              <w:pStyle w:val="Compact"/>
              <w:jc w:val="center"/>
            </w:pPr>
            <w:r>
              <w:t xml:space="preserve">15,973</w:t>
            </w:r>
          </w:p>
        </w:tc>
        <w:tc>
          <w:tcPr/>
          <w:p>
            <w:pPr>
              <w:pStyle w:val="Compact"/>
              <w:jc w:val="center"/>
            </w:pPr>
            <w:r>
              <w:t xml:space="preserve">10,935</w:t>
            </w:r>
          </w:p>
        </w:tc>
        <w:tc>
          <w:tcPr/>
          <w:p>
            <w:pPr>
              <w:pStyle w:val="Compact"/>
              <w:jc w:val="center"/>
            </w:pPr>
            <w:r>
              <w:t xml:space="preserve">68.46%</w:t>
            </w:r>
          </w:p>
        </w:tc>
        <w:tc>
          <w:tcPr/>
          <w:p>
            <w:pPr>
              <w:pStyle w:val="Compact"/>
            </w:pPr>
          </w:p>
        </w:tc>
      </w:tr>
      <w:tr>
        <w:tc>
          <w:tcPr/>
          <w:p>
            <w:pPr>
              <w:pStyle w:val="Compact"/>
              <w:jc w:val="center"/>
            </w:pPr>
            <w:r>
              <w:t xml:space="preserve">3</w:t>
            </w:r>
          </w:p>
        </w:tc>
        <w:tc>
          <w:tcPr/>
          <w:p>
            <w:pPr>
              <w:pStyle w:val="Compact"/>
              <w:jc w:val="center"/>
            </w:pPr>
            <w:r>
              <w:t xml:space="preserve">Chakan Unit No. 3 (Khalumbre)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a)</w:t>
            </w:r>
          </w:p>
        </w:tc>
        <w:tc>
          <w:tcPr/>
          <w:p>
            <w:pPr>
              <w:pStyle w:val="Compact"/>
              <w:jc w:val="center"/>
            </w:pPr>
            <w:r>
              <w:t xml:space="preserve">Standard Magnet Winding Wire</w:t>
            </w:r>
          </w:p>
        </w:tc>
        <w:tc>
          <w:tcPr/>
          <w:p>
            <w:pPr>
              <w:pStyle w:val="Compact"/>
              <w:jc w:val="center"/>
            </w:pPr>
            <w:r>
              <w:t xml:space="preserve">6,875</w:t>
            </w:r>
          </w:p>
        </w:tc>
        <w:tc>
          <w:tcPr/>
          <w:p>
            <w:pPr>
              <w:pStyle w:val="Compact"/>
              <w:jc w:val="center"/>
            </w:pPr>
            <w:r>
              <w:t xml:space="preserve">4,289</w:t>
            </w:r>
          </w:p>
        </w:tc>
        <w:tc>
          <w:tcPr/>
          <w:p>
            <w:pPr>
              <w:pStyle w:val="Compact"/>
              <w:jc w:val="center"/>
            </w:pPr>
            <w:r>
              <w:t xml:space="preserve">62.39%</w:t>
            </w:r>
          </w:p>
        </w:tc>
        <w:tc>
          <w:tcPr/>
          <w:p>
            <w:pPr>
              <w:pStyle w:val="Compact"/>
              <w:jc w:val="center"/>
            </w:pPr>
            <w:r>
              <w:t xml:space="preserve">5,051</w:t>
            </w:r>
          </w:p>
        </w:tc>
        <w:tc>
          <w:tcPr/>
          <w:p>
            <w:pPr>
              <w:pStyle w:val="Compact"/>
              <w:jc w:val="center"/>
            </w:pPr>
            <w:r>
              <w:t xml:space="preserve">3,174</w:t>
            </w:r>
          </w:p>
        </w:tc>
        <w:tc>
          <w:tcPr/>
          <w:p>
            <w:pPr>
              <w:pStyle w:val="Compact"/>
              <w:jc w:val="center"/>
            </w:pPr>
            <w:r>
              <w:t xml:space="preserve">62.84%</w:t>
            </w:r>
          </w:p>
        </w:tc>
      </w:tr>
      <w:tr>
        <w:tc>
          <w:tcPr/>
          <w:p>
            <w:pPr>
              <w:pStyle w:val="Compact"/>
              <w:jc w:val="center"/>
            </w:pPr>
            <w:r>
              <w:t xml:space="preserve">Hooli Inc Unit No. 3</w:t>
            </w:r>
          </w:p>
        </w:tc>
        <w:tc>
          <w:tcPr/>
          <w:p>
            <w:pPr>
              <w:pStyle w:val="Compact"/>
              <w:jc w:val="center"/>
            </w:pPr>
            <w:r>
              <w:t xml:space="preserve">6,875</w:t>
            </w:r>
          </w:p>
        </w:tc>
        <w:tc>
          <w:tcPr/>
          <w:p>
            <w:pPr>
              <w:pStyle w:val="Compact"/>
              <w:jc w:val="center"/>
            </w:pPr>
            <w:r>
              <w:t xml:space="preserve">4,289</w:t>
            </w:r>
          </w:p>
        </w:tc>
        <w:tc>
          <w:tcPr/>
          <w:p>
            <w:pPr>
              <w:pStyle w:val="Compact"/>
              <w:jc w:val="center"/>
            </w:pPr>
            <w:r>
              <w:t xml:space="preserve">62.39%</w:t>
            </w:r>
          </w:p>
        </w:tc>
        <w:tc>
          <w:tcPr/>
          <w:p>
            <w:pPr>
              <w:pStyle w:val="Compact"/>
              <w:jc w:val="center"/>
            </w:pPr>
            <w:r>
              <w:t xml:space="preserve">5,051</w:t>
            </w:r>
          </w:p>
        </w:tc>
        <w:tc>
          <w:tcPr/>
          <w:p>
            <w:pPr>
              <w:pStyle w:val="Compact"/>
              <w:jc w:val="center"/>
            </w:pPr>
            <w:r>
              <w:t xml:space="preserve">3,174</w:t>
            </w:r>
          </w:p>
        </w:tc>
        <w:tc>
          <w:tcPr/>
          <w:p>
            <w:pPr>
              <w:pStyle w:val="Compact"/>
              <w:jc w:val="center"/>
            </w:pPr>
            <w:r>
              <w:t xml:space="preserve">62.84%</w:t>
            </w:r>
          </w:p>
        </w:tc>
        <w:tc>
          <w:tcPr/>
          <w:p>
            <w:pPr>
              <w:pStyle w:val="Compact"/>
            </w:pPr>
          </w:p>
        </w:tc>
      </w:tr>
      <w:tr>
        <w:tc>
          <w:tcPr/>
          <w:p>
            <w:pPr>
              <w:pStyle w:val="Compact"/>
              <w:jc w:val="center"/>
            </w:pPr>
            <w:r>
              <w:t xml:space="preserve">Total</w:t>
            </w:r>
          </w:p>
        </w:tc>
        <w:tc>
          <w:tcPr/>
          <w:p>
            <w:pPr>
              <w:pStyle w:val="Compact"/>
              <w:jc w:val="center"/>
            </w:pPr>
            <w:r>
              <w:t xml:space="preserve">28,436</w:t>
            </w:r>
          </w:p>
        </w:tc>
        <w:tc>
          <w:tcPr/>
          <w:p>
            <w:pPr>
              <w:pStyle w:val="Compact"/>
              <w:jc w:val="center"/>
            </w:pPr>
            <w:r>
              <w:t xml:space="preserve">21,754</w:t>
            </w:r>
          </w:p>
        </w:tc>
        <w:tc>
          <w:tcPr/>
          <w:p>
            <w:pPr>
              <w:pStyle w:val="Compact"/>
              <w:jc w:val="center"/>
            </w:pPr>
            <w:r>
              <w:t xml:space="preserve">76.50%</w:t>
            </w:r>
          </w:p>
        </w:tc>
        <w:tc>
          <w:tcPr/>
          <w:p>
            <w:pPr>
              <w:pStyle w:val="Compact"/>
              <w:jc w:val="center"/>
            </w:pPr>
            <w:r>
              <w:t xml:space="preserve">25,265</w:t>
            </w:r>
          </w:p>
        </w:tc>
        <w:tc>
          <w:tcPr/>
          <w:p>
            <w:pPr>
              <w:pStyle w:val="Compact"/>
              <w:jc w:val="center"/>
            </w:pPr>
            <w:r>
              <w:t xml:space="preserve">17,756</w:t>
            </w:r>
          </w:p>
        </w:tc>
        <w:tc>
          <w:tcPr/>
          <w:p>
            <w:pPr>
              <w:pStyle w:val="Compact"/>
              <w:jc w:val="center"/>
            </w:pPr>
            <w:r>
              <w:t xml:space="preserve">70.28%</w:t>
            </w:r>
          </w:p>
        </w:tc>
        <w:tc>
          <w:tcPr/>
          <w:p>
            <w:pPr>
              <w:pStyle w:val="Compact"/>
            </w:pPr>
          </w:p>
        </w:tc>
      </w:tr>
    </w:tbl>
    <w:p>
      <w:pPr>
        <w:pStyle w:val="BodyText"/>
      </w:pPr>
      <w:r>
        <w:t xml:space="preserve">^ Calculated on proportionate installed capacity basis.</w:t>
      </w:r>
    </w:p>
    <w:p>
      <w:pPr>
        <w:pStyle w:val="BodyText"/>
      </w:pPr>
      <w:r>
        <w:t xml:space="preserve">* Actual production mentioned above is for the three-month period ended June 30, 2025.</w:t>
      </w:r>
    </w:p>
    <w:p>
      <w:pPr>
        <w:pStyle w:val="BodyText"/>
      </w:pPr>
      <w:r>
        <w:t xml:space="preserve">Notes:</w:t>
      </w:r>
    </w:p>
    <w:p>
      <w:pPr>
        <w:pStyle w:val="BodyText"/>
      </w:pPr>
      <w:r>
        <w:t xml:space="preserve">Capacity mentioned in above table for the year 2022-2023, 2023-2024 and 2024-2025 &amp; first quarter of the year 2025-26 is on annualized basis.</w:t>
      </w:r>
    </w:p>
    <w:p>
      <w:pPr>
        <w:pStyle w:val="BodyText"/>
      </w:pPr>
      <w:r>
        <w:t xml:space="preserve">PICC means - Paper Insulated Copper Conductor.</w:t>
      </w:r>
    </w:p>
    <w:p>
      <w:pPr>
        <w:pStyle w:val="BodyText"/>
      </w:pPr>
      <w:r>
        <w:t xml:space="preserve">CTC means - Continuously Transposed Conductors.</w:t>
      </w:r>
    </w:p>
    <w:p>
      <w:pPr>
        <w:pStyle w:val="BodyText"/>
      </w:pPr>
      <w:r>
        <w:t xml:space="preserve">RW means - Round Wire Conductors.</w:t>
      </w:r>
    </w:p>
    <w:p>
      <w:pPr>
        <w:pStyle w:val="BodyText"/>
      </w:pPr>
      <w:r>
        <w:t xml:space="preserve">Installed capacity represents the installed capacity as of the last date of the relevant Fiscal and by considering the factors such as plant preventive maintenance, unplanned maintenance, set up change for extreme cross section, job landing &amp; unloading time, power failure, lunch/ tea break etc..</w:t>
      </w:r>
    </w:p>
    <w:p>
      <w:pPr>
        <w:pStyle w:val="BodyText"/>
      </w:pPr>
      <w:r>
        <w:t xml:space="preserve">The installed capacity are based on various assumptions and estimates, including standard capacity calculation practice in the Indian winding wires industry and capacity of other ancillary equipment installed at the relevant manufacturing facility. Actual available annual capacity is calculated by considering above mentioned factors and percentage of utilization is calculated by considering available capacity.</w:t>
      </w:r>
    </w:p>
    <w:p>
      <w:pPr>
        <w:pStyle w:val="BodyText"/>
      </w:pPr>
      <w:r>
        <w:t xml:space="preserve">Actual production will vary due to factors such as size/shape of conductors, no./ bunch of conductors, operator’s skill, age of the machine, condition of the machine, annealing time, enamelling type, paper overlapping etc.</w:t>
      </w:r>
    </w:p>
    <w:p>
      <w:pPr>
        <w:pStyle w:val="BodyText"/>
      </w:pPr>
      <w:r>
        <w:t xml:space="preserve">Company manufactures wide range of wires and conductors in various sizes and types. Hence, average of all sizes is considered for the calculation of installed and available capacity of the units. Main production output is based on final output of CTC, PICC machine as it is final operation to get finish product.</w:t>
      </w:r>
    </w:p>
    <w:p>
      <w:pPr>
        <w:pStyle w:val="BodyText"/>
      </w:pPr>
      <w:r>
        <w:t xml:space="preserve">The company is manufacturing aluminum &amp; copper winding wires and for purpose of arriving at copper equivalent figures of production and sales, the aluminum products has been multiplied by 3.28.</w:t>
      </w:r>
    </w:p>
    <w:p>
      <w:pPr>
        <w:pStyle w:val="BodyText"/>
      </w:pPr>
      <w:r>
        <w:t xml:space="preserve">Assumptions and estimates taken into account for measuring available capacities includes:</w:t>
      </w:r>
    </w:p>
    <w:p>
      <w:pPr>
        <w:pStyle w:val="BodyText"/>
      </w:pPr>
      <w:r>
        <w:t xml:space="preserve">Specialize magnet winding wires:</w:t>
      </w:r>
    </w:p>
    <w:p>
      <w:pPr>
        <w:pStyle w:val="BodyText"/>
      </w:pPr>
      <w:r>
        <w:t xml:space="preserve">For PICC - 26 days per month resulting in 312 working days in a year with per day three operating shifts with actual run time of 5.6 hours per shift.</w:t>
      </w:r>
    </w:p>
    <w:p>
      <w:pPr>
        <w:pStyle w:val="BodyText"/>
      </w:pPr>
      <w:r>
        <w:t xml:space="preserve">For CTC - 26 days per month resulting in 312 working days in a year with per day three operating shifts with actual run time of 5.2 hours per shift.</w:t>
      </w:r>
    </w:p>
    <w:p>
      <w:pPr>
        <w:pStyle w:val="BodyText"/>
      </w:pPr>
      <w:r>
        <w:t xml:space="preserve">Standard magnet winding wires:</w:t>
      </w:r>
    </w:p>
    <w:p>
      <w:pPr>
        <w:pStyle w:val="BodyText"/>
      </w:pPr>
      <w:r>
        <w:t xml:space="preserve">For RW – 95% of 365 working days in a year on a continuing basis with per day three operating shifts with actual run time of 8 hours per shift.</w:t>
      </w:r>
    </w:p>
    <w:p>
      <w:pPr>
        <w:pStyle w:val="BodyText"/>
      </w:pPr>
      <w:r>
        <w:t xml:space="preserve">The information relating to the actual production at the manufacturing units as on date included above are based on the following assumptions.</w:t>
      </w:r>
    </w:p>
    <w:p>
      <w:pPr>
        <w:pStyle w:val="BodyText"/>
      </w:pPr>
      <w:r>
        <w:t xml:space="preserve">The actual production capacity of the company is derived from a</w:t>
      </w:r>
      <w:r>
        <w:t xml:space="preserve"> </w:t>
      </w:r>
      <w:r>
        <w:t xml:space="preserve">‘</w:t>
      </w:r>
      <w:r>
        <w:t xml:space="preserve">Production Data</w:t>
      </w:r>
      <w:r>
        <w:t xml:space="preserve">’</w:t>
      </w:r>
      <w:r>
        <w:t xml:space="preserve"> </w:t>
      </w:r>
      <w:r>
        <w:t xml:space="preserve">on a monthly basis.</w:t>
      </w:r>
    </w:p>
    <w:p>
      <w:pPr>
        <w:pStyle w:val="BodyText"/>
      </w:pPr>
      <w:r>
        <w:t xml:space="preserve">Capacity utilization has been calculated on the basis of actual production during the relevant Fiscal/ period divided by the aggregate available capacity as of at the end of the relevant period. The inspection report is based on situation observed at the time of date if inspection.</w:t>
      </w:r>
    </w:p>
    <w:p>
      <w:pPr>
        <w:pStyle w:val="BodyText"/>
      </w:pPr>
      <w:r>
        <w:t xml:space="preserve">The Company is expanding by setting up a plant at Wayne Enterprises F-223, Supa Parner Industrial Park, Mauje Palve Khurd, Alex Parker, Dist – Ahmednagar, Maharashtra – 414 301. The proposed plant will be developed in phases: Phase I, named Alpha I, with an installed capacity of 12,000 MT per annum, and Phase II, named Beta I, with a proposed installed capacity of 18,000 MT per annum. Currently, a consent to operate dated September 19, 2025, has been obtained from the Maharashtra Pollution Control Board for Phase I CTO and commercial production of Phase I commenced in September 2025. Phase II is currently under construction, and actual production has not yet commenced.</w:t>
      </w:r>
    </w:p>
    <w:p>
      <w:pPr>
        <w:pStyle w:val="BodyText"/>
      </w:pPr>
      <w:r>
        <w:t xml:space="preserve">(The remainder of the page is intentionally left blank)</w:t>
      </w:r>
    </w:p>
    <w:p>
      <w:pPr>
        <w:pStyle w:val="BodyText"/>
      </w:pPr>
      <w:r>
        <w:t xml:space="preserve">Our historical capacity utilisation for the standard magnet winding wires reflect under-utilisation, as our production of standard magnet winding wires Fiscal 2020 and were affected by the adverse economic slowdown due to Covid-19. For further details on our manufacturing facilities and capacities, see</w:t>
      </w:r>
      <w:r>
        <w:t xml:space="preserve"> </w:t>
      </w:r>
      <w:r>
        <w:t xml:space="preserve">“</w:t>
      </w:r>
      <w:r>
        <w:t xml:space="preserve">Our Business – Capacity and Capacity Utilization</w:t>
      </w:r>
      <w:r>
        <w:t xml:space="preserve">”</w:t>
      </w:r>
      <w:r>
        <w:t xml:space="preserve"> </w:t>
      </w:r>
      <w:r>
        <w:t xml:space="preserve">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 raw materials, and industry/ market conditions. In the event there is a decline in the demand for our offerings, or if we face prolonged disruptions at our facility including due to interruptions in the supply of water, electricity or as a result of labour unrest, or are unable to procure sufficient raw materials, we would not be able to achieve full capacity utilization of our current manufacturing facility, resulting in operational inefficiencies which could have a material adverse effect on our business and financial condition. Under-utilization of our manufacturing capacities over 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BodyText"/>
      </w:pPr>
      <w:r>
        <w:t xml:space="preserve">Our manufacturing facilities are located in Maharashtra, India, which exposes our operations to potential geographical concentration risks arising from local and regional factors which may adversely affect our operations and in turn our business, results of operations and cash flows.</w:t>
      </w:r>
    </w:p>
    <w:p>
      <w:pPr>
        <w:pStyle w:val="BodyText"/>
      </w:pPr>
      <w:r>
        <w:t xml:space="preserve">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t xml:space="preserve">“</w:t>
      </w:r>
      <w:r>
        <w:t xml:space="preserve">Supa Facility</w:t>
      </w:r>
      <w:r>
        <w:t xml:space="preserve">”</w:t>
      </w:r>
      <w:r>
        <w:t xml:space="preserve">), of which, phase I is currently operational. For details in relation to the land on which our Stark Industries are located, see,</w:t>
      </w:r>
      <w:r>
        <w:t xml:space="preserve"> </w:t>
      </w:r>
      <w:r>
        <w:t xml:space="preserve">“</w:t>
      </w:r>
      <w:r>
        <w:t xml:space="preserve">Our Business – Manufacturing Facilities</w:t>
      </w:r>
      <w:r>
        <w:t xml:space="preserve">”</w:t>
      </w:r>
      <w:r>
        <w:t xml:space="preserve"> </w:t>
      </w:r>
      <w:r>
        <w:t xml:space="preserve">on page 229. Further, Mary Walker,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three-month period ended June 30, 2025 and the Fiscals 2025,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w:t>
      </w:r>
    </w:p>
    <w:p>
      <w:pPr>
        <w:pStyle w:val="BodyText"/>
      </w:pPr>
      <w:r>
        <w:t xml:space="preserve">We have incurred indebtedness and are subject to certain restrictive covenants under the terms of our financing agreements, which may limit our ability to seek additional financing or undertake certain business actions. Any inability to comply with repayment obligations and/or other covenants in our financing agreements could adversely affect our business and financial condition.</w:t>
      </w:r>
    </w:p>
    <w:p>
      <w:pPr>
        <w:pStyle w:val="BodyText"/>
      </w:pPr>
      <w: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 5,194.25 million. For further details, see</w:t>
      </w:r>
      <w:r>
        <w:t xml:space="preserve"> </w:t>
      </w:r>
      <w:r>
        <w:t xml:space="preserve">“</w:t>
      </w:r>
      <w:r>
        <w:t xml:space="preserve">Financial Indebtedness</w:t>
      </w:r>
      <w:r>
        <w:t xml:space="preserve">”</w:t>
      </w:r>
      <w:r>
        <w:t xml:space="preserve"> </w:t>
      </w:r>
      <w: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conditions.</w:t>
      </w:r>
    </w:p>
    <w:p>
      <w:pPr>
        <w:pStyle w:val="BodyText"/>
      </w:pPr>
      <w:r>
        <w:t xml:space="preserve">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 or cancellation of such facilities, entailing repayment of amounts outstanding under such facilities. We may not be successful in procuring such alternative guarantees to the satisfaction of the lenders, and as a result may need to repay outstanding amounts under such facilities or seek additional sources of capital, which may not be available</w:t>
      </w:r>
    </w:p>
    <w:p>
      <w:pPr>
        <w:pStyle w:val="BodyText"/>
      </w:pPr>
      <w:r>
        <w:t xml:space="preserve">on acceptable terms or at all. For further details in relation to the personal guarantees, see</w:t>
      </w:r>
      <w:r>
        <w:t xml:space="preserve"> </w:t>
      </w:r>
      <w:r>
        <w:t xml:space="preserve">“</w:t>
      </w:r>
      <w:r>
        <w:t xml:space="preserve">History and Certain Corporate Matters – Guarantees provided to third parties by our Promoter Selling Shareholders</w:t>
      </w:r>
      <w:r>
        <w:t xml:space="preserve">”</w:t>
      </w:r>
      <w:r>
        <w:t xml:space="preserve"> </w:t>
      </w:r>
      <w:r>
        <w:t xml:space="preserve">on page 245.</w:t>
      </w:r>
    </w:p>
    <w:p>
      <w:pPr>
        <w:pStyle w:val="BodyText"/>
      </w:pPr>
      <w:r>
        <w:t xml:space="preserve">The level of our indebtedness and the covenants under the relevant agreements may restrict our ability to obtain additional financing in the future or renegotiate or refinance our existing indebtedness on terms favourable to us, which may impact our growth plans.</w:t>
      </w:r>
    </w:p>
    <w:p>
      <w:pPr>
        <w:pStyle w:val="BodyText"/>
      </w:pPr>
      <w:r>
        <w:t xml:space="preserve">While we have been in compliance with the financial covenants under our loan agreements in the three-month period ended June 30, 2025 and Fiscals 2025, 2024 and 2023, there can be no assurance that we will be able to comply with these financial or other covenants in the future or that we will be able to obtain consents necessary to take the actions that we believe are required to operate and grow our business.</w:t>
      </w:r>
    </w:p>
    <w:p>
      <w:pPr>
        <w:pStyle w:val="BodyText"/>
      </w:pPr>
      <w:r>
        <w:t xml:space="preserve">A failure to observe the covenants under the financing arrangements or to obtain necessary waivers may lead to the termination of our credit facilities and acceleration of amounts due under such facilities. For the purpose of the Offer, the consents from our lenders as required under the relevant loan documents for undertaking activities relating to the Offer have been obtained.</w:t>
      </w:r>
    </w:p>
    <w:p>
      <w:pPr>
        <w:pStyle w:val="BodyText"/>
      </w:pPr>
      <w:r>
        <w:t xml:space="preserve">The loss of certain independent certification and accreditation of our products and the manufacturing practices that we have adopted could harm our business.</w:t>
      </w:r>
    </w:p>
    <w:p>
      <w:pPr>
        <w:pStyle w:val="BodyText"/>
      </w:pPr>
      <w:r>
        <w:t xml:space="preserve">We obtain and maintain quality certifications and accreditations from independent certification entities in connection with the products we manufacture. For instance, we were awarded (i) ISO 9001:2015 – accreditation for the certification and approval of the quality management system; (ii) ISO 14001:2015 – accreditation for environment management system; (iii) ISO 45001:2018 – certification for occupational health and safety management; and (iv) IATF 16949:2016 – certification for the certification and approval of the quality management system. If we fail to comply with applicable quality standards or if the relevant accreditation institute or agency declines to certify our products and manufacturing practices, or if we are otherwise unable to obtain such quality accreditations in the future, in a timely manner or at all, our business prospects and financial performance will be adversely affected. While we have not experienced any instances where we failed to obtain quality certifications and accreditations which had an adverse impact on our business, results of operations, financial condition or cash flows, we cannot assure you that such instances will not arise in the future.</w:t>
      </w:r>
    </w:p>
    <w:p>
      <w:pPr>
        <w:pStyle w:val="BodyText"/>
      </w:pPr>
      <w:r>
        <w:t xml:space="preserve">There have been certain instances of delays in payment of statutory dues by us in the past. Any delay in payment of statutory dues by us in future, may result in the imposition of penalties and in turn may have an adverse effect on our business, financial condition, results of operation and cash flows.</w:t>
      </w:r>
    </w:p>
    <w:p>
      <w:pPr>
        <w:pStyle w:val="BodyText"/>
      </w:pPr>
      <w:r>
        <w:t xml:space="preserve">We are required to pay certain statutory dues including provident fund contributions under the Employees’ Provident Funds and Miscellaneous Provisions Act, 1952, employee state insurance contributions under the Employees’ State Insurance Act, 1948, professional tax, tax deduction at source (</w:t>
      </w:r>
      <w:r>
        <w:t xml:space="preserve">“</w:t>
      </w:r>
      <w:r>
        <w:t xml:space="preserve">TDS</w:t>
      </w:r>
      <w:r>
        <w:t xml:space="preserve">”</w:t>
      </w:r>
      <w:r>
        <w:t xml:space="preserve">), labour welfare fund, GST and income tax.</w:t>
      </w:r>
    </w:p>
    <w:p>
      <w:pPr>
        <w:pStyle w:val="BodyText"/>
      </w:pPr>
      <w:r>
        <w:t xml:space="preserve">The table below sets out details of statutory dues paid by our Company, in relation to its employees during the period/ Fiscals indicated:</w:t>
      </w:r>
    </w:p>
    <w:p>
      <w:pPr>
        <w:pStyle w:val="BodyText"/>
      </w:pPr>
      <w:r>
        <w:t xml:space="preserve">(₹ in million)</w:t>
      </w:r>
    </w:p>
    <w:tbl>
      <w:tblPr>
        <w:tblStyle w:val="Table"/>
        <w:tblW w:type="pct" w:w="5000"/>
        <w:tblLook w:firstRow="0" w:lastRow="0" w:firstColumn="0" w:lastColumn="0" w:noHBand="0" w:noVBand="0" w:val="0000"/>
        <w:jc w:val="start"/>
      </w:tblPr>
      <w:tblGrid>
        <w:gridCol w:w="609"/>
        <w:gridCol w:w="609"/>
        <w:gridCol w:w="609"/>
        <w:gridCol w:w="609"/>
        <w:gridCol w:w="609"/>
        <w:gridCol w:w="609"/>
        <w:gridCol w:w="609"/>
        <w:gridCol w:w="609"/>
        <w:gridCol w:w="609"/>
        <w:gridCol w:w="609"/>
        <w:gridCol w:w="609"/>
        <w:gridCol w:w="609"/>
        <w:gridCol w:w="609"/>
      </w:tblGrid>
      <w:tr>
        <w:tc>
          <w:tcPr/>
          <w:p>
            <w:pPr>
              <w:pStyle w:val="Compact"/>
              <w:jc w:val="center"/>
            </w:pPr>
            <w:r>
              <w:t xml:space="preserve">Nature of Payment</w:t>
            </w:r>
          </w:p>
        </w:tc>
        <w:tc>
          <w:tcPr/>
          <w:p>
            <w:pPr>
              <w:pStyle w:val="Compact"/>
              <w:jc w:val="center"/>
            </w:pPr>
            <w:r>
              <w:t xml:space="preserve">As at and for the three-month period endedJune 30, 2025</w:t>
            </w:r>
          </w:p>
        </w:tc>
        <w:tc>
          <w:tcPr/>
          <w:p>
            <w:pPr>
              <w:pStyle w:val="Compact"/>
              <w:jc w:val="center"/>
            </w:pPr>
            <w:r>
              <w:t xml:space="preserve">Fiscal 2025</w:t>
            </w:r>
          </w:p>
        </w:tc>
        <w:tc>
          <w:tcPr/>
          <w:p>
            <w:pPr>
              <w:pStyle w:val="Compact"/>
              <w:jc w:val="center"/>
            </w:pPr>
            <w:r>
              <w:t xml:space="preserve">Fiscal 2024</w:t>
            </w:r>
          </w:p>
        </w:tc>
        <w:tc>
          <w:tcPr/>
          <w:p>
            <w:pPr>
              <w:pStyle w:val="Compact"/>
              <w:jc w:val="center"/>
            </w:pPr>
            <w:r>
              <w:t xml:space="preserve">Fiscal 2023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Mary Allen (in millions)</w:t>
            </w:r>
          </w:p>
        </w:tc>
        <w:tc>
          <w:tcPr/>
          <w:p>
            <w:pPr>
              <w:pStyle w:val="Compact"/>
              <w:jc w:val="center"/>
            </w:pPr>
            <w:r>
              <w:t xml:space="preserve">Paid (in millio ns)</w:t>
            </w:r>
          </w:p>
        </w:tc>
        <w:tc>
          <w:tcPr/>
          <w:p>
            <w:pPr>
              <w:pStyle w:val="Compact"/>
              <w:jc w:val="center"/>
            </w:pPr>
            <w:r>
              <w:t xml:space="preserve">Unpai d (in millio ns)</w:t>
            </w:r>
          </w:p>
        </w:tc>
        <w:tc>
          <w:tcPr/>
          <w:p>
            <w:pPr>
              <w:pStyle w:val="Compact"/>
              <w:jc w:val="center"/>
            </w:pPr>
            <w:r>
              <w:t xml:space="preserve">Mary Allen (in millions)</w:t>
            </w:r>
          </w:p>
        </w:tc>
        <w:tc>
          <w:tcPr/>
          <w:p>
            <w:pPr>
              <w:pStyle w:val="Compact"/>
              <w:jc w:val="center"/>
            </w:pPr>
            <w:r>
              <w:t xml:space="preserve">Paid (in million s)</w:t>
            </w:r>
          </w:p>
        </w:tc>
        <w:tc>
          <w:tcPr/>
          <w:p>
            <w:pPr>
              <w:pStyle w:val="Compact"/>
              <w:jc w:val="center"/>
            </w:pPr>
            <w:r>
              <w:t xml:space="preserve">Unpai d (in millio ns)</w:t>
            </w:r>
          </w:p>
        </w:tc>
        <w:tc>
          <w:tcPr/>
          <w:p>
            <w:pPr>
              <w:pStyle w:val="Compact"/>
              <w:jc w:val="center"/>
            </w:pPr>
            <w:r>
              <w:t xml:space="preserve">Mary Allen (in millions)</w:t>
            </w:r>
          </w:p>
        </w:tc>
        <w:tc>
          <w:tcPr/>
          <w:p>
            <w:pPr>
              <w:pStyle w:val="Compact"/>
              <w:jc w:val="center"/>
            </w:pPr>
            <w:r>
              <w:t xml:space="preserve">Paid (in millio ns)</w:t>
            </w:r>
          </w:p>
        </w:tc>
        <w:tc>
          <w:tcPr/>
          <w:p>
            <w:pPr>
              <w:pStyle w:val="Compact"/>
              <w:jc w:val="center"/>
            </w:pPr>
            <w:r>
              <w:t xml:space="preserve">Unpai d (in millio ns)</w:t>
            </w:r>
          </w:p>
        </w:tc>
        <w:tc>
          <w:tcPr/>
          <w:p>
            <w:pPr>
              <w:pStyle w:val="Compact"/>
              <w:jc w:val="center"/>
            </w:pPr>
            <w:r>
              <w:t xml:space="preserve">Mary Allen (in millions)</w:t>
            </w:r>
          </w:p>
        </w:tc>
        <w:tc>
          <w:tcPr/>
          <w:p>
            <w:pPr>
              <w:pStyle w:val="Compact"/>
              <w:jc w:val="center"/>
            </w:pPr>
            <w:r>
              <w:t xml:space="preserve">Paid (in millio ns)</w:t>
            </w:r>
          </w:p>
        </w:tc>
        <w:tc>
          <w:tcPr/>
          <w:p>
            <w:pPr>
              <w:pStyle w:val="Compact"/>
              <w:jc w:val="center"/>
            </w:pPr>
            <w:r>
              <w:t xml:space="preserve">Unpai d (in millio ns)</w:t>
            </w:r>
          </w:p>
        </w:tc>
        <w:tc>
          <w:tcPr/>
          <w:p>
            <w:pPr>
              <w:pStyle w:val="Compact"/>
            </w:pPr>
          </w:p>
        </w:tc>
      </w:tr>
      <w:tr>
        <w:tc>
          <w:tcPr/>
          <w:p>
            <w:pPr>
              <w:pStyle w:val="Compact"/>
              <w:jc w:val="center"/>
            </w:pPr>
            <w:r>
              <w:t xml:space="preserve">Employees State Insurance</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w:t>
            </w:r>
          </w:p>
        </w:tc>
        <w:tc>
          <w:tcPr/>
          <w:p>
            <w:pPr>
              <w:pStyle w:val="Compact"/>
              <w:jc w:val="center"/>
            </w:pPr>
            <w:r>
              <w:t xml:space="preserve">0.03</w:t>
            </w:r>
          </w:p>
        </w:tc>
        <w:tc>
          <w:tcPr/>
          <w:p>
            <w:pPr>
              <w:pStyle w:val="Compact"/>
              <w:jc w:val="center"/>
            </w:pPr>
            <w:r>
              <w:t xml:space="preserve">0.03</w:t>
            </w:r>
          </w:p>
        </w:tc>
        <w:tc>
          <w:tcPr/>
          <w:p>
            <w:pPr>
              <w:pStyle w:val="Compact"/>
              <w:jc w:val="center"/>
            </w:pPr>
            <w:r>
              <w:t xml:space="preserve">-</w:t>
            </w:r>
          </w:p>
        </w:tc>
        <w:tc>
          <w:tcPr/>
          <w:p>
            <w:pPr>
              <w:pStyle w:val="Compact"/>
              <w:jc w:val="center"/>
            </w:pPr>
            <w:r>
              <w:t xml:space="preserve">0.03</w:t>
            </w:r>
          </w:p>
        </w:tc>
        <w:tc>
          <w:tcPr/>
          <w:p>
            <w:pPr>
              <w:pStyle w:val="Compact"/>
              <w:jc w:val="center"/>
            </w:pPr>
            <w:r>
              <w:t xml:space="preserve">0.03</w:t>
            </w:r>
          </w:p>
        </w:tc>
        <w:tc>
          <w:tcPr/>
          <w:p>
            <w:pPr>
              <w:pStyle w:val="Compact"/>
              <w:jc w:val="center"/>
            </w:pPr>
            <w:r>
              <w:t xml:space="preserve">-</w:t>
            </w:r>
          </w:p>
        </w:tc>
        <w:tc>
          <w:tcPr/>
          <w:p>
            <w:pPr>
              <w:pStyle w:val="Compact"/>
              <w:jc w:val="center"/>
            </w:pPr>
            <w:r>
              <w:t xml:space="preserve">0.09</w:t>
            </w:r>
          </w:p>
        </w:tc>
        <w:tc>
          <w:tcPr/>
          <w:p>
            <w:pPr>
              <w:pStyle w:val="Compact"/>
              <w:jc w:val="center"/>
            </w:pPr>
            <w:r>
              <w:t xml:space="preserve">0.09</w:t>
            </w:r>
          </w:p>
        </w:tc>
        <w:tc>
          <w:tcPr/>
          <w:p>
            <w:pPr>
              <w:pStyle w:val="Compact"/>
              <w:jc w:val="center"/>
            </w:pPr>
            <w:r>
              <w:t xml:space="preserve">-</w:t>
            </w:r>
          </w:p>
        </w:tc>
      </w:tr>
      <w:tr>
        <w:tc>
          <w:tcPr/>
          <w:p>
            <w:pPr>
              <w:pStyle w:val="Compact"/>
              <w:jc w:val="center"/>
            </w:pPr>
            <w:r>
              <w:t xml:space="preserve">Provident Fund#</w:t>
            </w:r>
          </w:p>
        </w:tc>
        <w:tc>
          <w:tcPr/>
          <w:p>
            <w:pPr>
              <w:pStyle w:val="Compact"/>
              <w:jc w:val="center"/>
            </w:pPr>
            <w:r>
              <w:t xml:space="preserve">3.50</w:t>
            </w:r>
          </w:p>
        </w:tc>
        <w:tc>
          <w:tcPr/>
          <w:p>
            <w:pPr>
              <w:pStyle w:val="Compact"/>
              <w:jc w:val="center"/>
            </w:pPr>
            <w:r>
              <w:t xml:space="preserve">3.50</w:t>
            </w:r>
          </w:p>
        </w:tc>
        <w:tc>
          <w:tcPr/>
          <w:p>
            <w:pPr>
              <w:pStyle w:val="Compact"/>
              <w:jc w:val="center"/>
            </w:pPr>
            <w:r>
              <w:t xml:space="preserve">-</w:t>
            </w:r>
          </w:p>
        </w:tc>
        <w:tc>
          <w:tcPr/>
          <w:p>
            <w:pPr>
              <w:pStyle w:val="Compact"/>
              <w:jc w:val="center"/>
            </w:pPr>
            <w:r>
              <w:t xml:space="preserve">12.15</w:t>
            </w:r>
          </w:p>
        </w:tc>
        <w:tc>
          <w:tcPr/>
          <w:p>
            <w:pPr>
              <w:pStyle w:val="Compact"/>
              <w:jc w:val="center"/>
            </w:pPr>
            <w:r>
              <w:t xml:space="preserve">12.15</w:t>
            </w:r>
          </w:p>
        </w:tc>
        <w:tc>
          <w:tcPr/>
          <w:p>
            <w:pPr>
              <w:pStyle w:val="Compact"/>
              <w:jc w:val="center"/>
            </w:pPr>
            <w:r>
              <w:t xml:space="preserve">-</w:t>
            </w:r>
          </w:p>
        </w:tc>
        <w:tc>
          <w:tcPr/>
          <w:p>
            <w:pPr>
              <w:pStyle w:val="Compact"/>
              <w:jc w:val="center"/>
            </w:pPr>
            <w:r>
              <w:t xml:space="preserve">11.15</w:t>
            </w:r>
          </w:p>
        </w:tc>
        <w:tc>
          <w:tcPr/>
          <w:p>
            <w:pPr>
              <w:pStyle w:val="Compact"/>
              <w:jc w:val="center"/>
            </w:pPr>
            <w:r>
              <w:t xml:space="preserve">11.15</w:t>
            </w:r>
          </w:p>
        </w:tc>
        <w:tc>
          <w:tcPr/>
          <w:p>
            <w:pPr>
              <w:pStyle w:val="Compact"/>
              <w:jc w:val="center"/>
            </w:pPr>
            <w:r>
              <w:t xml:space="preserve">-</w:t>
            </w:r>
          </w:p>
        </w:tc>
        <w:tc>
          <w:tcPr/>
          <w:p>
            <w:pPr>
              <w:pStyle w:val="Compact"/>
              <w:jc w:val="center"/>
            </w:pPr>
            <w:r>
              <w:t xml:space="preserve">10.01</w:t>
            </w:r>
          </w:p>
        </w:tc>
        <w:tc>
          <w:tcPr/>
          <w:p>
            <w:pPr>
              <w:pStyle w:val="Compact"/>
              <w:jc w:val="center"/>
            </w:pPr>
            <w:r>
              <w:t xml:space="preserve">10.01</w:t>
            </w:r>
          </w:p>
        </w:tc>
        <w:tc>
          <w:tcPr/>
          <w:p>
            <w:pPr>
              <w:pStyle w:val="Compact"/>
              <w:jc w:val="center"/>
            </w:pPr>
            <w:r>
              <w:t xml:space="preserve">-</w:t>
            </w:r>
          </w:p>
        </w:tc>
      </w:tr>
      <w:tr>
        <w:tc>
          <w:tcPr/>
          <w:p>
            <w:pPr>
              <w:pStyle w:val="Compact"/>
              <w:jc w:val="center"/>
            </w:pPr>
            <w:r>
              <w:t xml:space="preserve">Company Profession al Tax</w:t>
            </w:r>
          </w:p>
        </w:tc>
        <w:tc>
          <w:tcPr/>
          <w:p>
            <w:pPr>
              <w:pStyle w:val="Compact"/>
              <w:jc w:val="center"/>
            </w:pPr>
            <w:r>
              <w:t xml:space="preserve">0.11</w:t>
            </w:r>
          </w:p>
        </w:tc>
        <w:tc>
          <w:tcPr/>
          <w:p>
            <w:pPr>
              <w:pStyle w:val="Compact"/>
              <w:jc w:val="center"/>
            </w:pPr>
            <w:r>
              <w:t xml:space="preserve">0.11</w:t>
            </w:r>
          </w:p>
        </w:tc>
        <w:tc>
          <w:tcPr/>
          <w:p>
            <w:pPr>
              <w:pStyle w:val="Compact"/>
              <w:jc w:val="center"/>
            </w:pPr>
            <w:r>
              <w:t xml:space="preserve">-</w:t>
            </w:r>
          </w:p>
        </w:tc>
        <w:tc>
          <w:tcPr/>
          <w:p>
            <w:pPr>
              <w:pStyle w:val="Compact"/>
              <w:jc w:val="center"/>
            </w:pPr>
            <w:r>
              <w:t xml:space="preserve">0.42</w:t>
            </w:r>
          </w:p>
        </w:tc>
        <w:tc>
          <w:tcPr/>
          <w:p>
            <w:pPr>
              <w:pStyle w:val="Compact"/>
              <w:jc w:val="center"/>
            </w:pPr>
            <w:r>
              <w:t xml:space="preserve">0.42</w:t>
            </w:r>
          </w:p>
        </w:tc>
        <w:tc>
          <w:tcPr/>
          <w:p>
            <w:pPr>
              <w:pStyle w:val="Compact"/>
              <w:jc w:val="center"/>
            </w:pPr>
            <w:r>
              <w:t xml:space="preserve">-</w:t>
            </w:r>
          </w:p>
        </w:tc>
        <w:tc>
          <w:tcPr/>
          <w:p>
            <w:pPr>
              <w:pStyle w:val="Compact"/>
              <w:jc w:val="center"/>
            </w:pPr>
            <w:r>
              <w:t xml:space="preserve">0.40</w:t>
            </w:r>
          </w:p>
        </w:tc>
        <w:tc>
          <w:tcPr/>
          <w:p>
            <w:pPr>
              <w:pStyle w:val="Compact"/>
              <w:jc w:val="center"/>
            </w:pPr>
            <w:r>
              <w:t xml:space="preserve">0.40</w:t>
            </w:r>
          </w:p>
        </w:tc>
        <w:tc>
          <w:tcPr/>
          <w:p>
            <w:pPr>
              <w:pStyle w:val="Compact"/>
              <w:jc w:val="center"/>
            </w:pPr>
            <w:r>
              <w:t xml:space="preserve">-</w:t>
            </w:r>
          </w:p>
        </w:tc>
        <w:tc>
          <w:tcPr/>
          <w:p>
            <w:pPr>
              <w:pStyle w:val="Compact"/>
              <w:jc w:val="center"/>
            </w:pPr>
            <w:r>
              <w:t xml:space="preserve">0.39</w:t>
            </w:r>
          </w:p>
        </w:tc>
        <w:tc>
          <w:tcPr/>
          <w:p>
            <w:pPr>
              <w:pStyle w:val="Compact"/>
              <w:jc w:val="center"/>
            </w:pPr>
            <w:r>
              <w:t xml:space="preserve">0.39</w:t>
            </w:r>
          </w:p>
        </w:tc>
        <w:tc>
          <w:tcPr/>
          <w:p>
            <w:pPr>
              <w:pStyle w:val="Compact"/>
              <w:jc w:val="center"/>
            </w:pPr>
            <w:r>
              <w:t xml:space="preserve">-</w:t>
            </w:r>
          </w:p>
        </w:tc>
      </w:tr>
      <w:tr>
        <w:tc>
          <w:tcPr/>
          <w:p>
            <w:pPr>
              <w:pStyle w:val="Compact"/>
              <w:jc w:val="center"/>
            </w:pPr>
            <w:r>
              <w:t xml:space="preserve">Alex Doe at Sourceu/s 192B</w:t>
            </w:r>
          </w:p>
        </w:tc>
        <w:tc>
          <w:tcPr/>
          <w:p>
            <w:pPr>
              <w:pStyle w:val="Compact"/>
              <w:jc w:val="center"/>
            </w:pPr>
            <w:r>
              <w:t xml:space="preserve">10.77</w:t>
            </w:r>
          </w:p>
        </w:tc>
        <w:tc>
          <w:tcPr/>
          <w:p>
            <w:pPr>
              <w:pStyle w:val="Compact"/>
              <w:jc w:val="center"/>
            </w:pPr>
            <w:r>
              <w:t xml:space="preserve">10.77</w:t>
            </w:r>
          </w:p>
        </w:tc>
        <w:tc>
          <w:tcPr/>
          <w:p>
            <w:pPr>
              <w:pStyle w:val="Compact"/>
              <w:jc w:val="center"/>
            </w:pPr>
            <w:r>
              <w:t xml:space="preserve">-</w:t>
            </w:r>
          </w:p>
        </w:tc>
        <w:tc>
          <w:tcPr/>
          <w:p>
            <w:pPr>
              <w:pStyle w:val="Compact"/>
              <w:jc w:val="center"/>
            </w:pPr>
            <w:r>
              <w:t xml:space="preserve">11.50</w:t>
            </w:r>
          </w:p>
        </w:tc>
        <w:tc>
          <w:tcPr/>
          <w:p>
            <w:pPr>
              <w:pStyle w:val="Compact"/>
              <w:jc w:val="center"/>
            </w:pPr>
            <w:r>
              <w:t xml:space="preserve">11.50</w:t>
            </w:r>
          </w:p>
        </w:tc>
        <w:tc>
          <w:tcPr/>
          <w:p>
            <w:pPr>
              <w:pStyle w:val="Compact"/>
              <w:jc w:val="center"/>
            </w:pPr>
            <w:r>
              <w:t xml:space="preserve">-</w:t>
            </w:r>
          </w:p>
        </w:tc>
        <w:tc>
          <w:tcPr/>
          <w:p>
            <w:pPr>
              <w:pStyle w:val="Compact"/>
              <w:jc w:val="center"/>
            </w:pPr>
            <w:r>
              <w:t xml:space="preserve">41.65</w:t>
            </w:r>
          </w:p>
        </w:tc>
        <w:tc>
          <w:tcPr/>
          <w:p>
            <w:pPr>
              <w:pStyle w:val="Compact"/>
              <w:jc w:val="center"/>
            </w:pPr>
            <w:r>
              <w:t xml:space="preserve">41.65</w:t>
            </w:r>
          </w:p>
        </w:tc>
        <w:tc>
          <w:tcPr/>
          <w:p>
            <w:pPr>
              <w:pStyle w:val="Compact"/>
              <w:jc w:val="center"/>
            </w:pPr>
            <w:r>
              <w:t xml:space="preserve">-</w:t>
            </w:r>
          </w:p>
        </w:tc>
        <w:tc>
          <w:tcPr/>
          <w:p>
            <w:pPr>
              <w:pStyle w:val="Compact"/>
              <w:jc w:val="center"/>
            </w:pPr>
            <w:r>
              <w:t xml:space="preserve">52.03</w:t>
            </w:r>
          </w:p>
        </w:tc>
        <w:tc>
          <w:tcPr/>
          <w:p>
            <w:pPr>
              <w:pStyle w:val="Compact"/>
              <w:jc w:val="center"/>
            </w:pPr>
            <w:r>
              <w:t xml:space="preserve">52.03</w:t>
            </w:r>
          </w:p>
        </w:tc>
        <w:tc>
          <w:tcPr/>
          <w:p>
            <w:pPr>
              <w:pStyle w:val="Compact"/>
              <w:jc w:val="center"/>
            </w:pPr>
            <w:r>
              <w:t xml:space="preserve">-</w:t>
            </w:r>
          </w:p>
        </w:tc>
      </w:tr>
    </w:tbl>
    <w:p/>
    <w:tbl>
      <w:tblPr>
        <w:tblStyle w:val="Table"/>
        <w:tblW w:type="pct" w:w="5000"/>
        <w:tblLook w:firstRow="0" w:lastRow="0" w:firstColumn="0" w:lastColumn="0" w:noHBand="0" w:noVBand="0" w:val="0000"/>
        <w:jc w:val="start"/>
      </w:tblPr>
      <w:tblGrid>
        <w:gridCol w:w="609"/>
        <w:gridCol w:w="609"/>
        <w:gridCol w:w="609"/>
        <w:gridCol w:w="609"/>
        <w:gridCol w:w="609"/>
        <w:gridCol w:w="609"/>
        <w:gridCol w:w="609"/>
        <w:gridCol w:w="609"/>
        <w:gridCol w:w="609"/>
        <w:gridCol w:w="609"/>
        <w:gridCol w:w="609"/>
        <w:gridCol w:w="609"/>
        <w:gridCol w:w="609"/>
      </w:tblGrid>
      <w:tr>
        <w:tc>
          <w:tcPr/>
          <w:p>
            <w:pPr>
              <w:pStyle w:val="Compact"/>
              <w:jc w:val="center"/>
            </w:pPr>
            <w:r>
              <w:t xml:space="preserve">Nature of Payment</w:t>
            </w:r>
          </w:p>
        </w:tc>
        <w:tc>
          <w:tcPr/>
          <w:p>
            <w:pPr>
              <w:pStyle w:val="Compact"/>
              <w:jc w:val="center"/>
            </w:pPr>
            <w:r>
              <w:t xml:space="preserve">As at and for the three-month period ended June 30, 2025</w:t>
            </w:r>
          </w:p>
        </w:tc>
        <w:tc>
          <w:tcPr/>
          <w:p>
            <w:pPr>
              <w:pStyle w:val="Compact"/>
              <w:jc w:val="center"/>
            </w:pPr>
            <w:r>
              <w:t xml:space="preserve">Fiscal 2025</w:t>
            </w:r>
          </w:p>
        </w:tc>
        <w:tc>
          <w:tcPr/>
          <w:p>
            <w:pPr>
              <w:pStyle w:val="Compact"/>
              <w:jc w:val="center"/>
            </w:pPr>
            <w:r>
              <w:t xml:space="preserve">Fiscal 2024</w:t>
            </w:r>
          </w:p>
        </w:tc>
        <w:tc>
          <w:tcPr/>
          <w:p>
            <w:pPr>
              <w:pStyle w:val="Compact"/>
              <w:jc w:val="center"/>
            </w:pPr>
            <w:r>
              <w:t xml:space="preserve">Fiscal 2023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Mary Allen (in millions)</w:t>
            </w:r>
          </w:p>
        </w:tc>
        <w:tc>
          <w:tcPr/>
          <w:p>
            <w:pPr>
              <w:pStyle w:val="Compact"/>
              <w:jc w:val="center"/>
            </w:pPr>
            <w:r>
              <w:t xml:space="preserve">Paid (in millio ns)</w:t>
            </w:r>
          </w:p>
        </w:tc>
        <w:tc>
          <w:tcPr/>
          <w:p>
            <w:pPr>
              <w:pStyle w:val="Compact"/>
              <w:jc w:val="center"/>
            </w:pPr>
            <w:r>
              <w:t xml:space="preserve">Unpai d (in millio ns)</w:t>
            </w:r>
          </w:p>
        </w:tc>
        <w:tc>
          <w:tcPr/>
          <w:p>
            <w:pPr>
              <w:pStyle w:val="Compact"/>
              <w:jc w:val="center"/>
            </w:pPr>
            <w:r>
              <w:t xml:space="preserve">Mary Allen (in millions)</w:t>
            </w:r>
          </w:p>
        </w:tc>
        <w:tc>
          <w:tcPr/>
          <w:p>
            <w:pPr>
              <w:pStyle w:val="Compact"/>
              <w:jc w:val="center"/>
            </w:pPr>
            <w:r>
              <w:t xml:space="preserve">Paid (in million s)</w:t>
            </w:r>
          </w:p>
        </w:tc>
        <w:tc>
          <w:tcPr/>
          <w:p>
            <w:pPr>
              <w:pStyle w:val="Compact"/>
              <w:jc w:val="center"/>
            </w:pPr>
            <w:r>
              <w:t xml:space="preserve">Unpai d (in millio ns)</w:t>
            </w:r>
          </w:p>
        </w:tc>
        <w:tc>
          <w:tcPr/>
          <w:p>
            <w:pPr>
              <w:pStyle w:val="Compact"/>
              <w:jc w:val="center"/>
            </w:pPr>
            <w:r>
              <w:t xml:space="preserve">Mary Allen (in millions)</w:t>
            </w:r>
          </w:p>
        </w:tc>
        <w:tc>
          <w:tcPr/>
          <w:p>
            <w:pPr>
              <w:pStyle w:val="Compact"/>
              <w:jc w:val="center"/>
            </w:pPr>
            <w:r>
              <w:t xml:space="preserve">Paid (in millio ns)</w:t>
            </w:r>
          </w:p>
        </w:tc>
        <w:tc>
          <w:tcPr/>
          <w:p>
            <w:pPr>
              <w:pStyle w:val="Compact"/>
              <w:jc w:val="center"/>
            </w:pPr>
            <w:r>
              <w:t xml:space="preserve">Unpai d (in millio ns)</w:t>
            </w:r>
          </w:p>
        </w:tc>
        <w:tc>
          <w:tcPr/>
          <w:p>
            <w:pPr>
              <w:pStyle w:val="Compact"/>
              <w:jc w:val="center"/>
            </w:pPr>
            <w:r>
              <w:t xml:space="preserve">Mary Allen (in millions)</w:t>
            </w:r>
          </w:p>
        </w:tc>
        <w:tc>
          <w:tcPr/>
          <w:p>
            <w:pPr>
              <w:pStyle w:val="Compact"/>
              <w:jc w:val="center"/>
            </w:pPr>
            <w:r>
              <w:t xml:space="preserve">Paid (in millio ns)</w:t>
            </w:r>
          </w:p>
        </w:tc>
        <w:tc>
          <w:tcPr/>
          <w:p>
            <w:pPr>
              <w:pStyle w:val="Compact"/>
              <w:jc w:val="center"/>
            </w:pPr>
            <w:r>
              <w:t xml:space="preserve">Unpai d (in millio ns)</w:t>
            </w:r>
          </w:p>
        </w:tc>
        <w:tc>
          <w:tcPr/>
          <w:p>
            <w:pPr>
              <w:pStyle w:val="Compact"/>
            </w:pPr>
          </w:p>
        </w:tc>
      </w:tr>
      <w:tr>
        <w:tc>
          <w:tcPr/>
          <w:p>
            <w:pPr>
              <w:pStyle w:val="Compact"/>
              <w:jc w:val="center"/>
            </w:pPr>
            <w:r>
              <w:t xml:space="preserve">Labour WelfareFund</w:t>
            </w:r>
          </w:p>
        </w:tc>
        <w:tc>
          <w:tcPr/>
          <w:p>
            <w:pPr>
              <w:pStyle w:val="Compact"/>
              <w:jc w:val="center"/>
            </w:pPr>
            <w:r>
              <w:t xml:space="preserve">0.01</w:t>
            </w:r>
          </w:p>
        </w:tc>
        <w:tc>
          <w:tcPr/>
          <w:p>
            <w:pPr>
              <w:pStyle w:val="Compact"/>
              <w:jc w:val="center"/>
            </w:pPr>
            <w:r>
              <w:t xml:space="preserve">0.01</w:t>
            </w:r>
          </w:p>
        </w:tc>
        <w:tc>
          <w:tcPr/>
          <w:p>
            <w:pPr>
              <w:pStyle w:val="Compact"/>
              <w:jc w:val="center"/>
            </w:pPr>
            <w:r>
              <w:t xml:space="preserve">-</w:t>
            </w:r>
          </w:p>
        </w:tc>
        <w:tc>
          <w:tcPr/>
          <w:p>
            <w:pPr>
              <w:pStyle w:val="Compact"/>
              <w:jc w:val="center"/>
            </w:pPr>
            <w:r>
              <w:t xml:space="preserve">0.02</w:t>
            </w:r>
          </w:p>
        </w:tc>
        <w:tc>
          <w:tcPr/>
          <w:p>
            <w:pPr>
              <w:pStyle w:val="Compact"/>
              <w:jc w:val="center"/>
            </w:pPr>
            <w:r>
              <w:t xml:space="preserve">0.02</w:t>
            </w:r>
          </w:p>
        </w:tc>
        <w:tc>
          <w:tcPr/>
          <w:p>
            <w:pPr>
              <w:pStyle w:val="Compact"/>
              <w:jc w:val="center"/>
            </w:pPr>
            <w:r>
              <w:t xml:space="preserve">-</w:t>
            </w:r>
          </w:p>
        </w:tc>
        <w:tc>
          <w:tcPr/>
          <w:p>
            <w:pPr>
              <w:pStyle w:val="Compact"/>
              <w:jc w:val="center"/>
            </w:pPr>
            <w:r>
              <w:t xml:space="preserve">0.01</w:t>
            </w:r>
          </w:p>
        </w:tc>
        <w:tc>
          <w:tcPr/>
          <w:p>
            <w:pPr>
              <w:pStyle w:val="Compact"/>
              <w:jc w:val="center"/>
            </w:pPr>
            <w:r>
              <w:t xml:space="preserve">0.01</w:t>
            </w:r>
          </w:p>
        </w:tc>
        <w:tc>
          <w:tcPr/>
          <w:p>
            <w:pPr>
              <w:pStyle w:val="Compact"/>
              <w:jc w:val="center"/>
            </w:pPr>
            <w:r>
              <w:t xml:space="preserve">-</w:t>
            </w:r>
          </w:p>
        </w:tc>
        <w:tc>
          <w:tcPr/>
          <w:p>
            <w:pPr>
              <w:pStyle w:val="Compact"/>
              <w:jc w:val="center"/>
            </w:pPr>
            <w:r>
              <w:t xml:space="preserve">0.01</w:t>
            </w:r>
          </w:p>
        </w:tc>
        <w:tc>
          <w:tcPr/>
          <w:p>
            <w:pPr>
              <w:pStyle w:val="Compact"/>
              <w:jc w:val="center"/>
            </w:pPr>
            <w:r>
              <w:t xml:space="preserve">0.01</w:t>
            </w:r>
          </w:p>
        </w:tc>
        <w:tc>
          <w:tcPr/>
          <w:p>
            <w:pPr>
              <w:pStyle w:val="Compact"/>
              <w:jc w:val="center"/>
            </w:pPr>
            <w:r>
              <w:t xml:space="preserve">-</w:t>
            </w:r>
          </w:p>
        </w:tc>
      </w:tr>
      <w:tr>
        <w:tc>
          <w:tcPr/>
          <w:p>
            <w:pPr>
              <w:pStyle w:val="Compact"/>
              <w:jc w:val="center"/>
            </w:pPr>
            <w:r>
              <w:t xml:space="preserve">Goods and Services Tax&amp;</w:t>
            </w:r>
          </w:p>
        </w:tc>
        <w:tc>
          <w:tcPr/>
          <w:p>
            <w:pPr>
              <w:pStyle w:val="Compact"/>
              <w:jc w:val="center"/>
            </w:pPr>
            <w:r>
              <w:t xml:space="preserve">30.56</w:t>
            </w:r>
          </w:p>
        </w:tc>
        <w:tc>
          <w:tcPr/>
          <w:p>
            <w:pPr>
              <w:pStyle w:val="Compact"/>
              <w:jc w:val="center"/>
            </w:pPr>
            <w:r>
              <w:t xml:space="preserve">30.65</w:t>
            </w:r>
          </w:p>
        </w:tc>
        <w:tc>
          <w:tcPr/>
          <w:p>
            <w:pPr>
              <w:pStyle w:val="Compact"/>
              <w:jc w:val="center"/>
            </w:pPr>
            <w:r>
              <w:t xml:space="preserve">-</w:t>
            </w:r>
          </w:p>
        </w:tc>
        <w:tc>
          <w:tcPr/>
          <w:p>
            <w:pPr>
              <w:pStyle w:val="Compact"/>
              <w:jc w:val="center"/>
            </w:pPr>
            <w:r>
              <w:t xml:space="preserve">98.95</w:t>
            </w:r>
          </w:p>
        </w:tc>
        <w:tc>
          <w:tcPr/>
          <w:p>
            <w:pPr>
              <w:pStyle w:val="Compact"/>
              <w:jc w:val="center"/>
            </w:pPr>
            <w:r>
              <w:t xml:space="preserve">98.95</w:t>
            </w:r>
          </w:p>
        </w:tc>
        <w:tc>
          <w:tcPr/>
          <w:p>
            <w:pPr>
              <w:pStyle w:val="Compact"/>
              <w:jc w:val="center"/>
            </w:pPr>
            <w:r>
              <w:t xml:space="preserve">-</w:t>
            </w:r>
          </w:p>
        </w:tc>
        <w:tc>
          <w:tcPr/>
          <w:p>
            <w:pPr>
              <w:pStyle w:val="Compact"/>
              <w:jc w:val="center"/>
            </w:pPr>
            <w:r>
              <w:t xml:space="preserve">39.92</w:t>
            </w:r>
          </w:p>
        </w:tc>
        <w:tc>
          <w:tcPr/>
          <w:p>
            <w:pPr>
              <w:pStyle w:val="Compact"/>
              <w:jc w:val="center"/>
            </w:pPr>
            <w:r>
              <w:t xml:space="preserve">39.92</w:t>
            </w:r>
          </w:p>
        </w:tc>
        <w:tc>
          <w:tcPr/>
          <w:p>
            <w:pPr>
              <w:pStyle w:val="Compact"/>
              <w:jc w:val="center"/>
            </w:pPr>
            <w:r>
              <w:t xml:space="preserve">-</w:t>
            </w:r>
          </w:p>
        </w:tc>
        <w:tc>
          <w:tcPr/>
          <w:p>
            <w:pPr>
              <w:pStyle w:val="Compact"/>
              <w:jc w:val="center"/>
            </w:pPr>
            <w:r>
              <w:t xml:space="preserve">17.61</w:t>
            </w:r>
          </w:p>
        </w:tc>
        <w:tc>
          <w:tcPr/>
          <w:p>
            <w:pPr>
              <w:pStyle w:val="Compact"/>
              <w:jc w:val="center"/>
            </w:pPr>
            <w:r>
              <w:t xml:space="preserve">17.61</w:t>
            </w:r>
          </w:p>
        </w:tc>
        <w:tc>
          <w:tcPr/>
          <w:p>
            <w:pPr>
              <w:pStyle w:val="Compact"/>
              <w:jc w:val="center"/>
            </w:pPr>
            <w:r>
              <w:t xml:space="preserve">-</w:t>
            </w:r>
          </w:p>
        </w:tc>
      </w:tr>
      <w:tr>
        <w:tc>
          <w:tcPr/>
          <w:p>
            <w:pPr>
              <w:pStyle w:val="Compact"/>
              <w:jc w:val="center"/>
            </w:pPr>
            <w:r>
              <w:t xml:space="preserve">Total</w:t>
            </w:r>
          </w:p>
        </w:tc>
        <w:tc>
          <w:tcPr/>
          <w:p>
            <w:pPr>
              <w:pStyle w:val="Compact"/>
              <w:jc w:val="center"/>
            </w:pPr>
            <w:r>
              <w:t xml:space="preserve">44.95</w:t>
            </w:r>
          </w:p>
        </w:tc>
        <w:tc>
          <w:tcPr/>
          <w:p>
            <w:pPr>
              <w:pStyle w:val="Compact"/>
              <w:jc w:val="center"/>
            </w:pPr>
            <w:r>
              <w:t xml:space="preserve">44.95</w:t>
            </w:r>
          </w:p>
        </w:tc>
        <w:tc>
          <w:tcPr/>
          <w:p>
            <w:pPr>
              <w:pStyle w:val="Compact"/>
              <w:jc w:val="center"/>
            </w:pPr>
            <w:r>
              <w:t xml:space="preserve">123.07</w:t>
            </w:r>
          </w:p>
        </w:tc>
        <w:tc>
          <w:tcPr/>
          <w:p>
            <w:pPr>
              <w:pStyle w:val="Compact"/>
              <w:jc w:val="center"/>
            </w:pPr>
            <w:r>
              <w:t xml:space="preserve">123.07</w:t>
            </w:r>
          </w:p>
        </w:tc>
        <w:tc>
          <w:tcPr/>
          <w:p>
            <w:pPr>
              <w:pStyle w:val="Compact"/>
              <w:jc w:val="center"/>
            </w:pPr>
            <w:r>
              <w:t xml:space="preserve">-</w:t>
            </w:r>
          </w:p>
        </w:tc>
        <w:tc>
          <w:tcPr/>
          <w:p>
            <w:pPr>
              <w:pStyle w:val="Compact"/>
              <w:jc w:val="center"/>
            </w:pPr>
            <w:r>
              <w:t xml:space="preserve">93.17</w:t>
            </w:r>
          </w:p>
        </w:tc>
        <w:tc>
          <w:tcPr/>
          <w:p>
            <w:pPr>
              <w:pStyle w:val="Compact"/>
              <w:jc w:val="center"/>
            </w:pPr>
            <w:r>
              <w:t xml:space="preserve">93.17</w:t>
            </w:r>
          </w:p>
        </w:tc>
        <w:tc>
          <w:tcPr/>
          <w:p>
            <w:pPr>
              <w:pStyle w:val="Compact"/>
              <w:jc w:val="center"/>
            </w:pPr>
            <w:r>
              <w:t xml:space="preserve">-</w:t>
            </w:r>
          </w:p>
        </w:tc>
        <w:tc>
          <w:tcPr/>
          <w:p>
            <w:pPr>
              <w:pStyle w:val="Compact"/>
              <w:jc w:val="center"/>
            </w:pPr>
            <w:r>
              <w:t xml:space="preserve">80.14</w:t>
            </w:r>
          </w:p>
        </w:tc>
        <w:tc>
          <w:tcPr/>
          <w:p>
            <w:pPr>
              <w:pStyle w:val="Compact"/>
              <w:jc w:val="center"/>
            </w:pPr>
            <w:r>
              <w:t xml:space="preserve">80.14</w:t>
            </w:r>
          </w:p>
        </w:tc>
        <w:tc>
          <w:tcPr/>
          <w:p>
            <w:pPr>
              <w:pStyle w:val="Compact"/>
              <w:jc w:val="center"/>
            </w:pPr>
            <w:r>
              <w:t xml:space="preserve">-</w:t>
            </w:r>
          </w:p>
        </w:tc>
        <w:tc>
          <w:tcPr/>
          <w:p>
            <w:pPr>
              <w:pStyle w:val="Compact"/>
            </w:pPr>
          </w:p>
        </w:tc>
      </w:tr>
      <w:tr>
        <w:tc>
          <w:tcPr/>
          <w:p>
            <w:pPr>
              <w:pStyle w:val="Compact"/>
              <w:jc w:val="center"/>
            </w:pPr>
            <w:r>
              <w:t xml:space="preserve">No ofEmployee s as at period/yea r end*</w:t>
            </w:r>
          </w:p>
        </w:tc>
        <w:tc>
          <w:tcPr/>
          <w:p>
            <w:pPr>
              <w:pStyle w:val="Compact"/>
              <w:jc w:val="center"/>
            </w:pPr>
            <w:r>
              <w:t xml:space="preserve">189</w:t>
            </w:r>
          </w:p>
        </w:tc>
        <w:tc>
          <w:tcPr/>
          <w:p>
            <w:pPr>
              <w:pStyle w:val="Compact"/>
              <w:jc w:val="center"/>
            </w:pPr>
            <w:r>
              <w:t xml:space="preserve">178</w:t>
            </w:r>
          </w:p>
        </w:tc>
        <w:tc>
          <w:tcPr/>
          <w:p>
            <w:pPr>
              <w:pStyle w:val="Compact"/>
              <w:jc w:val="center"/>
            </w:pPr>
            <w:r>
              <w:t xml:space="preserve">168</w:t>
            </w:r>
          </w:p>
        </w:tc>
        <w:tc>
          <w:tcPr/>
          <w:p>
            <w:pPr>
              <w:pStyle w:val="Compact"/>
              <w:jc w:val="center"/>
            </w:pPr>
            <w:r>
              <w:t xml:space="preserve">161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Note:</w:t>
      </w:r>
    </w:p>
    <w:p>
      <w:pPr>
        <w:pStyle w:val="BodyText"/>
      </w:pPr>
      <w:r>
        <w:t xml:space="preserve">The number of employees mentioned in the above table differ for every statutory due basis eligibility under respective acts.</w:t>
      </w:r>
    </w:p>
    <w:p>
      <w:pPr>
        <w:pStyle w:val="BodyText"/>
      </w:pPr>
      <w:r>
        <w:t xml:space="preserve">*excludes contractual employees.</w:t>
      </w:r>
    </w:p>
    <w:p>
      <w:pPr>
        <w:pStyle w:val="BodyText"/>
      </w:pPr>
      <w:r>
        <w:t xml:space="preserve">&amp; Goods and Services Tax includes only payment of taxes in cash.</w:t>
      </w:r>
    </w:p>
    <w:p>
      <w:pPr>
        <w:pStyle w:val="BodyText"/>
      </w:pPr>
      <w:r>
        <w:t xml:space="preserve"># Employer and Employee Contribution.</w:t>
      </w:r>
    </w:p>
    <w:p>
      <w:pPr>
        <w:pStyle w:val="BodyText"/>
      </w:pPr>
      <w:r>
        <w:t xml:space="preserve">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 specific objective of preventing such statutory delays. Additionally, we aim to conduct awareness sessions for 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 authorities against us for the aforementioned delays, we cannot assure you that we will not be subject to such penalties and fines in the future which may have a material adverse impact on our financial condition and cash flows.</w:t>
      </w:r>
    </w:p>
    <w:p>
      <w:pPr>
        <w:pStyle w:val="BodyText"/>
      </w:pPr>
      <w:r>
        <w:t xml:space="preserve">Our operations involve activities and materials which are hazardous in nature and could result in a suspension of operations, injury to our personnel, emission of pollutants and/or the imposition of civil or criminal liabilities which could adversely affect our business, results of operations, cash flow and financial condition.</w:t>
      </w:r>
    </w:p>
    <w:p>
      <w:pPr>
        <w:pStyle w:val="BodyText"/>
      </w:pPr>
      <w:r>
        <w:t xml:space="preserve">Certain operations at our manufacturing facilities can cause accidents during the manufacturing process resulting in serious injuries or death of employees or other persons, if improperly handled, and cause damage to our properties or equipment and the properties of others or to the environment. Despite ensuring that employee safety manuals 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Text"/>
      </w:pPr>
      <w:r>
        <w:t xml:space="preserve">The occurrence of any of these hazards could result in a suspension of operations and/or the imposition of civil or criminal liabilities. We may also face claims and litigation, filed on behalf of persons alleging injury predominantly 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Text"/>
      </w:pPr>
      <w:r>
        <w:t xml:space="preserve">We have substantial requirements for power and fuel for our manufacturing facilities and any disruption in the supply or increase in tariff may adversely affect our business, results of operations, and financial condition.</w:t>
      </w:r>
    </w:p>
    <w:p>
      <w:pPr>
        <w:pStyle w:val="BodyText"/>
      </w:pPr>
      <w:r>
        <w:t xml:space="preserve">We have power and fuel requirements for our manufacturing facilities. In a situation where our costs towards power and fuel were to increase or if there were any disruption in their supply to our manufacturing facilities, it could have an adverse effect on our business, results of operations, and financial condition. Set forth below are details in relation to our power and fuel costs for the period/ Fiscals indicated:</w:t>
      </w:r>
    </w:p>
    <w:tbl>
      <w:tblPr>
        <w:tblStyle w:val="Table"/>
        <w:tblW w:type="pct" w:w="5000"/>
        <w:tblLook w:firstRow="0" w:lastRow="0" w:firstColumn="0" w:lastColumn="0" w:noHBand="0" w:noVBand="0" w:val="0000"/>
        <w:jc w:val="start"/>
      </w:tblPr>
      <w:tblGrid>
        <w:gridCol w:w="1584"/>
        <w:gridCol w:w="1584"/>
        <w:gridCol w:w="1584"/>
        <w:gridCol w:w="1584"/>
        <w:gridCol w:w="1584"/>
      </w:tblGrid>
      <w:tr>
        <w:tc>
          <w:tcPr/>
          <w:p>
            <w:pPr>
              <w:pStyle w:val="Compact"/>
              <w:jc w:val="center"/>
            </w:pPr>
            <w:r>
              <w:t xml:space="preserve">Particulars</w:t>
            </w:r>
          </w:p>
        </w:tc>
        <w:tc>
          <w:tcPr/>
          <w:p>
            <w:pPr>
              <w:pStyle w:val="Compact"/>
              <w:jc w:val="center"/>
            </w:pPr>
            <w:r>
              <w:t xml:space="preserve">Three-month period ended June 30, 2025</w:t>
            </w:r>
          </w:p>
        </w:tc>
        <w:tc>
          <w:tcPr/>
          <w:p>
            <w:pPr>
              <w:pStyle w:val="Compact"/>
              <w:jc w:val="center"/>
            </w:pPr>
            <w:r>
              <w:t xml:space="preserve">Fiscal 2025</w:t>
            </w:r>
          </w:p>
        </w:tc>
        <w:tc>
          <w:tcPr/>
          <w:p>
            <w:pPr>
              <w:pStyle w:val="Compact"/>
              <w:jc w:val="center"/>
            </w:pPr>
            <w:r>
              <w:t xml:space="preserve">Fiscal 2024</w:t>
            </w:r>
          </w:p>
        </w:tc>
        <w:tc>
          <w:tcPr/>
          <w:p>
            <w:pPr>
              <w:pStyle w:val="Compact"/>
              <w:jc w:val="center"/>
            </w:pPr>
            <w:r>
              <w:t xml:space="preserve">Fiscal 2023</w:t>
            </w:r>
          </w:p>
        </w:tc>
      </w:tr>
      <w:tr>
        <w:tc>
          <w:tcPr/>
          <w:p>
            <w:pPr>
              <w:pStyle w:val="Compact"/>
              <w:jc w:val="center"/>
            </w:pPr>
            <w:r>
              <w:t xml:space="preserve">Power and fuel cost (₹ in million)</w:t>
            </w:r>
          </w:p>
        </w:tc>
        <w:tc>
          <w:tcPr/>
          <w:p>
            <w:pPr>
              <w:pStyle w:val="Compact"/>
              <w:jc w:val="center"/>
            </w:pPr>
            <w:r>
              <w:t xml:space="preserve">56.37</w:t>
            </w:r>
          </w:p>
        </w:tc>
        <w:tc>
          <w:tcPr/>
          <w:p>
            <w:pPr>
              <w:pStyle w:val="Compact"/>
              <w:jc w:val="center"/>
            </w:pPr>
            <w:r>
              <w:t xml:space="preserve">221.78</w:t>
            </w:r>
          </w:p>
        </w:tc>
        <w:tc>
          <w:tcPr/>
          <w:p>
            <w:pPr>
              <w:pStyle w:val="Compact"/>
              <w:jc w:val="center"/>
            </w:pPr>
            <w:r>
              <w:t xml:space="preserve">197.53</w:t>
            </w:r>
          </w:p>
        </w:tc>
        <w:tc>
          <w:tcPr/>
          <w:p>
            <w:pPr>
              <w:pStyle w:val="Compact"/>
              <w:jc w:val="center"/>
            </w:pPr>
            <w:r>
              <w:t xml:space="preserve">156.38</w:t>
            </w:r>
          </w:p>
        </w:tc>
      </w:tr>
      <w:tr>
        <w:tc>
          <w:tcPr/>
          <w:p>
            <w:pPr>
              <w:pStyle w:val="Compact"/>
              <w:jc w:val="center"/>
            </w:pPr>
            <w:r>
              <w:t xml:space="preserve">Percentage of total expenses (%)</w:t>
            </w:r>
          </w:p>
        </w:tc>
        <w:tc>
          <w:tcPr/>
          <w:p>
            <w:pPr>
              <w:pStyle w:val="Compact"/>
              <w:jc w:val="center"/>
            </w:pPr>
            <w:r>
              <w:t xml:space="preserve">1.07%</w:t>
            </w:r>
          </w:p>
        </w:tc>
        <w:tc>
          <w:tcPr/>
          <w:p>
            <w:pPr>
              <w:pStyle w:val="Compact"/>
              <w:jc w:val="center"/>
            </w:pPr>
            <w:r>
              <w:t xml:space="preserve">1.20%</w:t>
            </w:r>
          </w:p>
        </w:tc>
        <w:tc>
          <w:tcPr/>
          <w:p>
            <w:pPr>
              <w:pStyle w:val="Compact"/>
              <w:jc w:val="center"/>
            </w:pPr>
            <w:r>
              <w:t xml:space="preserve">1.47%</w:t>
            </w:r>
          </w:p>
        </w:tc>
        <w:tc>
          <w:tcPr/>
          <w:p>
            <w:pPr>
              <w:pStyle w:val="Compact"/>
              <w:jc w:val="center"/>
            </w:pPr>
            <w:r>
              <w:t xml:space="preserve">1.53%</w:t>
            </w:r>
          </w:p>
        </w:tc>
      </w:tr>
    </w:tbl>
    <w:p>
      <w:pPr>
        <w:pStyle w:val="BodyText"/>
      </w:pPr>
      <w:r>
        <w:t xml:space="preserve">While we plan to install a 3.2 MW rooftop solar power plant at our Umbrella Ltd from a portion of the Net Proceeds, we depend on third parties for our power and fuel requirements and source most of the electricity from state 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Text"/>
      </w:pPr>
      <w:r>
        <w:t xml:space="preserve">We source most of our electricity requirements for our manufacturing facilities from local power suppliers or state electricity boards. If our electricity suppliers increase the price for electricity, our cost of production and profitability would be materially adversely affected. If for any reason electricity is not available for a prolonged period of time, we may need to shut down our plants until an adequate supply of electricity is restored. Interruptions of electricity 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BodyText"/>
      </w:pPr>
      <w:r>
        <w:t xml:space="preserve">We are subject to counterparty credit risk and any delay in receiving payments or non-receipt of payments from our customers could have an adverse effect on our business, results of operations, financial condition and cash flows.</w:t>
      </w:r>
    </w:p>
    <w:p>
      <w:pPr>
        <w:pStyle w:val="BodyText"/>
      </w:pPr>
      <w:r>
        <w:t xml:space="preserve">Our operations involve extending credit to our customers in respect of sale of our products and consequently, we face the risk of uncertainty regarding the receipt of such outstanding amounts. The table below shows our bad debts written-off and provision for bad debts for the three-month period ended June 30, 2025, and Fiscals 2025, 2024 and 2023, and such amounts as a percentage of our revenue from operations:</w:t>
      </w:r>
    </w:p>
    <w:p>
      <w:pPr>
        <w:pStyle w:val="BodyText"/>
      </w:pPr>
      <w:r>
        <w:t xml:space="preserve">(₹ in million, except percentages)</w:t>
      </w:r>
    </w:p>
    <w:tbl>
      <w:tblPr>
        <w:tblStyle w:val="Table"/>
        <w:tblW w:type="pct" w:w="5000"/>
        <w:tblLook w:firstRow="0" w:lastRow="0" w:firstColumn="0" w:lastColumn="0" w:noHBand="0" w:noVBand="0" w:val="0000"/>
        <w:jc w:val="start"/>
      </w:tblPr>
      <w:tblGrid>
        <w:gridCol w:w="1584"/>
        <w:gridCol w:w="1584"/>
        <w:gridCol w:w="1584"/>
        <w:gridCol w:w="1584"/>
        <w:gridCol w:w="1584"/>
      </w:tblGrid>
      <w:tr>
        <w:tc>
          <w:tcPr/>
          <w:p>
            <w:pPr>
              <w:pStyle w:val="Compact"/>
              <w:jc w:val="center"/>
            </w:pPr>
            <w:r>
              <w:t xml:space="preserve">Particulars</w:t>
            </w:r>
          </w:p>
        </w:tc>
        <w:tc>
          <w:tcPr/>
          <w:p>
            <w:pPr>
              <w:pStyle w:val="Compact"/>
              <w:jc w:val="center"/>
            </w:pPr>
            <w:r>
              <w:t xml:space="preserve">Three-month period ended June 30, 2025</w:t>
            </w:r>
          </w:p>
        </w:tc>
        <w:tc>
          <w:tcPr/>
          <w:p>
            <w:pPr>
              <w:pStyle w:val="Compact"/>
              <w:jc w:val="center"/>
            </w:pPr>
            <w:r>
              <w:t xml:space="preserve">Financial year ended</w:t>
            </w:r>
          </w:p>
        </w:tc>
        <w:tc>
          <w:tcPr/>
          <w:p>
            <w:pPr>
              <w:pStyle w:val="Compact"/>
            </w:pPr>
          </w:p>
        </w:tc>
        <w:tc>
          <w:tcPr/>
          <w:p>
            <w:pPr>
              <w:pStyle w:val="Compact"/>
            </w:pPr>
          </w:p>
        </w:tc>
      </w:tr>
      <w:tr>
        <w:tc>
          <w:tcPr/>
          <w:p>
            <w:pPr>
              <w:pStyle w:val="Compact"/>
              <w:jc w:val="center"/>
            </w:pPr>
            <w:r>
              <w:t xml:space="preserve">March 31, 2025</w:t>
            </w:r>
          </w:p>
        </w:tc>
        <w:tc>
          <w:tcPr/>
          <w:p>
            <w:pPr>
              <w:pStyle w:val="Compact"/>
              <w:jc w:val="center"/>
            </w:pPr>
            <w:r>
              <w:t xml:space="preserve">March 31, 2024</w:t>
            </w:r>
          </w:p>
        </w:tc>
        <w:tc>
          <w:tcPr/>
          <w:p>
            <w:pPr>
              <w:pStyle w:val="Compact"/>
              <w:jc w:val="center"/>
            </w:pPr>
            <w:r>
              <w:t xml:space="preserve">March 31, 2023</w:t>
            </w:r>
          </w:p>
        </w:tc>
        <w:tc>
          <w:tcPr/>
          <w:p>
            <w:pPr>
              <w:pStyle w:val="Compact"/>
            </w:pPr>
          </w:p>
        </w:tc>
        <w:tc>
          <w:tcPr/>
          <w:p>
            <w:pPr>
              <w:pStyle w:val="Compact"/>
            </w:pPr>
          </w:p>
        </w:tc>
      </w:tr>
      <w:tr>
        <w:tc>
          <w:tcPr/>
          <w:p>
            <w:pPr>
              <w:pStyle w:val="Compact"/>
              <w:jc w:val="center"/>
            </w:pPr>
            <w:r>
              <w:t xml:space="preserve">Bad debts written off (A)</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0.24</w:t>
            </w:r>
          </w:p>
        </w:tc>
        <w:tc>
          <w:tcPr/>
          <w:p>
            <w:pPr>
              <w:pStyle w:val="Compact"/>
              <w:jc w:val="center"/>
            </w:pPr>
            <w:r>
              <w:t xml:space="preserve">0.00</w:t>
            </w:r>
          </w:p>
        </w:tc>
      </w:tr>
      <w:tr>
        <w:tc>
          <w:tcPr/>
          <w:p>
            <w:pPr>
              <w:pStyle w:val="Compact"/>
              <w:jc w:val="center"/>
            </w:pPr>
            <w:r>
              <w:t xml:space="preserve">Bad debts written off as a percentage of revenue from operations (B = A/E) (%)</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r>
      <w:tr>
        <w:tc>
          <w:tcPr/>
          <w:p>
            <w:pPr>
              <w:pStyle w:val="Compact"/>
              <w:jc w:val="center"/>
            </w:pPr>
            <w:r>
              <w:t xml:space="preserve">Provision for bad debt (C)</w:t>
            </w:r>
          </w:p>
        </w:tc>
        <w:tc>
          <w:tcPr/>
          <w:p>
            <w:pPr>
              <w:pStyle w:val="Compact"/>
              <w:jc w:val="center"/>
            </w:pPr>
            <w:r>
              <w:t xml:space="preserve">0.00</w:t>
            </w:r>
          </w:p>
        </w:tc>
        <w:tc>
          <w:tcPr/>
          <w:p>
            <w:pPr>
              <w:pStyle w:val="Compact"/>
              <w:jc w:val="center"/>
            </w:pPr>
            <w:r>
              <w:t xml:space="preserve">0.65</w:t>
            </w:r>
          </w:p>
        </w:tc>
        <w:tc>
          <w:tcPr/>
          <w:p>
            <w:pPr>
              <w:pStyle w:val="Compact"/>
              <w:jc w:val="center"/>
            </w:pPr>
            <w:r>
              <w:t xml:space="preserve">13.59</w:t>
            </w:r>
          </w:p>
        </w:tc>
        <w:tc>
          <w:tcPr/>
          <w:p>
            <w:pPr>
              <w:pStyle w:val="Compact"/>
              <w:jc w:val="center"/>
            </w:pPr>
            <w:r>
              <w:t xml:space="preserve">17.81</w:t>
            </w:r>
          </w:p>
        </w:tc>
      </w:tr>
      <w:tr>
        <w:tc>
          <w:tcPr/>
          <w:p>
            <w:pPr>
              <w:pStyle w:val="Compact"/>
              <w:jc w:val="center"/>
            </w:pPr>
            <w:r>
              <w:t xml:space="preserve">Provision for bad debt as a percentage of revenue from operations (D = C/E) (%)</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0.10%</w:t>
            </w:r>
          </w:p>
        </w:tc>
        <w:tc>
          <w:tcPr/>
          <w:p>
            <w:pPr>
              <w:pStyle w:val="Compact"/>
              <w:jc w:val="center"/>
            </w:pPr>
            <w:r>
              <w:t xml:space="preserve">0.17%</w:t>
            </w:r>
          </w:p>
        </w:tc>
      </w:tr>
      <w:tr>
        <w:tc>
          <w:tcPr/>
          <w:p>
            <w:pPr>
              <w:pStyle w:val="Compact"/>
              <w:jc w:val="center"/>
            </w:pPr>
            <w:r>
              <w:t xml:space="preserve">Revenue from operations (E)</w:t>
            </w:r>
          </w:p>
        </w:tc>
        <w:tc>
          <w:tcPr/>
          <w:p>
            <w:pPr>
              <w:pStyle w:val="Compact"/>
              <w:jc w:val="center"/>
            </w:pPr>
            <w:r>
              <w:t xml:space="preserve">5,587.12</w:t>
            </w:r>
          </w:p>
        </w:tc>
        <w:tc>
          <w:tcPr/>
          <w:p>
            <w:pPr>
              <w:pStyle w:val="Compact"/>
              <w:jc w:val="center"/>
            </w:pPr>
            <w:r>
              <w:t xml:space="preserve">19,282.93</w:t>
            </w:r>
          </w:p>
        </w:tc>
        <w:tc>
          <w:tcPr/>
          <w:p>
            <w:pPr>
              <w:pStyle w:val="Compact"/>
              <w:jc w:val="center"/>
            </w:pPr>
            <w:r>
              <w:t xml:space="preserve">13,828.15</w:t>
            </w:r>
          </w:p>
        </w:tc>
        <w:tc>
          <w:tcPr/>
          <w:p>
            <w:pPr>
              <w:pStyle w:val="Compact"/>
              <w:jc w:val="center"/>
            </w:pPr>
            <w:r>
              <w:t xml:space="preserve">10,494.60</w:t>
            </w:r>
          </w:p>
        </w:tc>
      </w:tr>
    </w:tbl>
    <w:p>
      <w:pPr>
        <w:pStyle w:val="BodyText"/>
      </w:pPr>
      <w:r>
        <w:t xml:space="preserve">Any delay in receiving payment or default on their payment obligations to us, could lead to an increase in our receivables. Any significant delay in receiving payment or non-receipt of payments from our customers may adversely affect our business, results of operations, financial condition and cash flows. While we have not experienced any instances of significant delays in receiving payments which had an impact on our business, results of operations, financial condition and cash flows in the three-month period ended June 30, 2025 or Fiscals 2025, 2024 and 2023, we cannot assure you that such instance will not arise in the future.</w:t>
      </w:r>
    </w:p>
    <w:p>
      <w:pPr>
        <w:pStyle w:val="BodyText"/>
      </w:pPr>
      <w:r>
        <w:t xml:space="preserve">Our operations are dependent on our new product and process development, thus our inability to introduce new products and processes and respond to changing customer preferences in a timely and effective manner, may have an adverse effect on our business, results of operations and financial condition.</w:t>
      </w:r>
    </w:p>
    <w:p>
      <w:pPr>
        <w:pStyle w:val="BodyText"/>
      </w:pPr>
      <w:r>
        <w:t xml:space="preserve">As of June 30, 2025, we have a dedicated team of 20 employees focused on new product/ process development and maintenance. During the three-month period ended June 30, 2025, and Fiscals 2025, 2024, and 2023, we have incurred</w:t>
      </w:r>
    </w:p>
    <w:p>
      <w:pPr>
        <w:pStyle w:val="BodyText"/>
      </w:pPr>
      <w:r>
        <w:t xml:space="preserve">₹4.49 million, ₹12.62 million, ₹11.22 million and ₹9.31 million aggregating to 3.99%, 3.18%, 2.89% and 3.33% of the employee benefit expenses incurred during the respective period/ years, on the new product and process development team. Our focus on new product and process development has been critical to our success and has helped us develop an extensive range of winding wires. Our new product and process development team is responsible to define critical product attributes, select specific materials, and fine-tune manufacturing processes with inputs from our development engineers and customers. Our future growth may depend in part on our ability to respond to technological advancement and emerging standards, and practices on a cost-effective and timely basis. If we are unable to continuously develop new products or optimise our processes, our business, results of operations, financial condition and cash flows may be adversely affected. Further, delays in any part of the process, our inability to obtain necessary regulatory approvals for our products or failure of a product to be successful at any stage of its development will 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 products or enhancements at competitive prices may cause existing and potential customers to purchase our competitors’ products. Though we strive to align our solutions with requirements of our customers, there can be no assurance that we will be able to secure the necessary knowledge through our own in-house product development that will allow us to continue to develop our offerings in accordance with the requirements of our customers and industry trends.</w:t>
      </w:r>
    </w:p>
    <w:p>
      <w:pPr>
        <w:pStyle w:val="BodyText"/>
      </w:pPr>
      <w:r>
        <w:t xml:space="preserve">Our ability to access capital at attractive costs depends on our credit ratings. Non-availability of credit ratings or a poor rating may restrict our access to capital and thereby adversely affect our business, financial conditions, cash flows and results of operations.</w:t>
      </w:r>
    </w:p>
    <w:p>
      <w:pPr>
        <w:pStyle w:val="BodyText"/>
      </w:pPr>
      <w:r>
        <w:t xml:space="preserve">The cost and availability of capital depends on our credit ratings. Set out below are our credit ratings received from Soylent Corp, in the three-month period ended June 30, 2025, Fiscals 2025, 2024 and 2023:</w:t>
      </w:r>
    </w:p>
    <w:tbl>
      <w:tblPr>
        <w:tblStyle w:val="Table"/>
        <w:tblW w:type="pct" w:w="5000"/>
        <w:tblLook w:firstRow="0" w:lastRow="0" w:firstColumn="0" w:lastColumn="0" w:noHBand="0" w:noVBand="0" w:val="0000"/>
        <w:jc w:val="start"/>
      </w:tblPr>
      <w:tblGrid>
        <w:gridCol w:w="1980"/>
        <w:gridCol w:w="1980"/>
        <w:gridCol w:w="1980"/>
        <w:gridCol w:w="1980"/>
      </w:tblGrid>
      <w:tr>
        <w:tc>
          <w:tcPr/>
          <w:p>
            <w:pPr>
              <w:pStyle w:val="Compact"/>
              <w:jc w:val="center"/>
            </w:pPr>
            <w:r>
              <w:t xml:space="preserve">Date</w:t>
            </w:r>
          </w:p>
        </w:tc>
        <w:tc>
          <w:tcPr/>
          <w:p>
            <w:pPr>
              <w:pStyle w:val="Compact"/>
              <w:jc w:val="center"/>
            </w:pPr>
            <w:r>
              <w:t xml:space="preserve">Rating</w:t>
            </w:r>
          </w:p>
        </w:tc>
        <w:tc>
          <w:tcPr/>
          <w:p>
            <w:pPr>
              <w:pStyle w:val="Compact"/>
              <w:jc w:val="center"/>
            </w:pPr>
            <w:r>
              <w:t xml:space="preserve">Outlook</w:t>
            </w:r>
          </w:p>
        </w:tc>
        <w:tc>
          <w:tcPr/>
          <w:p>
            <w:pPr>
              <w:pStyle w:val="Compact"/>
              <w:jc w:val="center"/>
            </w:pPr>
            <w:r>
              <w:t xml:space="preserve">Facilities/ Instrument</w:t>
            </w:r>
          </w:p>
        </w:tc>
      </w:tr>
      <w:tr>
        <w:tc>
          <w:tcPr/>
          <w:p>
            <w:pPr>
              <w:pStyle w:val="Compact"/>
              <w:jc w:val="center"/>
            </w:pPr>
            <w:r>
              <w:t xml:space="preserve">December 10, 2024</w:t>
            </w:r>
          </w:p>
        </w:tc>
        <w:tc>
          <w:tcPr/>
          <w:p>
            <w:pPr>
              <w:pStyle w:val="Compact"/>
              <w:jc w:val="center"/>
            </w:pPr>
            <w:r>
              <w:t xml:space="preserve">‘</w:t>
            </w:r>
            <w:r>
              <w:t xml:space="preserve">CARE A-</w:t>
            </w:r>
            <w:r>
              <w:t xml:space="preserve">’</w:t>
            </w:r>
          </w:p>
        </w:tc>
        <w:tc>
          <w:tcPr/>
          <w:p>
            <w:pPr>
              <w:pStyle w:val="Compact"/>
              <w:jc w:val="center"/>
            </w:pPr>
            <w:r>
              <w:t xml:space="preserve">Stable</w:t>
            </w:r>
          </w:p>
        </w:tc>
        <w:tc>
          <w:tcPr/>
          <w:p>
            <w:pPr>
              <w:pStyle w:val="Compact"/>
              <w:jc w:val="center"/>
            </w:pPr>
            <w:r>
              <w:t xml:space="preserve">Initech LLC</w:t>
            </w:r>
          </w:p>
        </w:tc>
      </w:tr>
      <w:tr>
        <w:tc>
          <w:tcPr/>
          <w:p>
            <w:pPr>
              <w:pStyle w:val="Compact"/>
              <w:jc w:val="center"/>
            </w:pPr>
            <w:r>
              <w:t xml:space="preserve">‘</w:t>
            </w:r>
            <w:r>
              <w:t xml:space="preserve">CARE A-</w:t>
            </w:r>
            <w:r>
              <w:t xml:space="preserve">’</w:t>
            </w:r>
          </w:p>
        </w:tc>
        <w:tc>
          <w:tcPr/>
          <w:p>
            <w:pPr>
              <w:pStyle w:val="Compact"/>
              <w:jc w:val="center"/>
            </w:pPr>
            <w:r>
              <w:t xml:space="preserve">Stable/ CARE A2</w:t>
            </w:r>
          </w:p>
        </w:tc>
        <w:tc>
          <w:tcPr/>
          <w:p>
            <w:pPr>
              <w:pStyle w:val="Compact"/>
              <w:jc w:val="center"/>
            </w:pPr>
            <w:r>
              <w:t xml:space="preserve">Long Term / Short Term Bank Facilities</w:t>
            </w:r>
          </w:p>
        </w:tc>
        <w:tc>
          <w:tcPr/>
          <w:p>
            <w:pPr>
              <w:pStyle w:val="Compact"/>
            </w:pPr>
          </w:p>
        </w:tc>
      </w:tr>
      <w:tr>
        <w:tc>
          <w:tcPr/>
          <w:p>
            <w:pPr>
              <w:pStyle w:val="Compact"/>
              <w:jc w:val="center"/>
            </w:pPr>
            <w:r>
              <w:t xml:space="preserve">‘</w:t>
            </w:r>
            <w:r>
              <w:t xml:space="preserve">CARE A2</w:t>
            </w:r>
            <w:r>
              <w:t xml:space="preserve">’</w:t>
            </w:r>
          </w:p>
        </w:tc>
        <w:tc>
          <w:tcPr/>
          <w:p>
            <w:pPr>
              <w:pStyle w:val="Compact"/>
              <w:jc w:val="center"/>
            </w:pPr>
            <w:r>
              <w:t xml:space="preserve">N.A.</w:t>
            </w:r>
          </w:p>
        </w:tc>
        <w:tc>
          <w:tcPr/>
          <w:p>
            <w:pPr>
              <w:pStyle w:val="Compact"/>
              <w:jc w:val="center"/>
            </w:pPr>
            <w:r>
              <w:t xml:space="preserve">Globex Inc</w:t>
            </w:r>
          </w:p>
        </w:tc>
        <w:tc>
          <w:tcPr/>
          <w:p>
            <w:pPr>
              <w:pStyle w:val="Compact"/>
            </w:pPr>
          </w:p>
        </w:tc>
      </w:tr>
      <w:tr>
        <w:tc>
          <w:tcPr/>
          <w:p>
            <w:pPr>
              <w:pStyle w:val="Compact"/>
              <w:jc w:val="center"/>
            </w:pPr>
            <w:r>
              <w:t xml:space="preserve">December 18, 2023</w:t>
            </w:r>
          </w:p>
        </w:tc>
        <w:tc>
          <w:tcPr/>
          <w:p>
            <w:pPr>
              <w:pStyle w:val="Compact"/>
              <w:jc w:val="center"/>
            </w:pPr>
            <w:r>
              <w:t xml:space="preserve">‘</w:t>
            </w:r>
            <w:r>
              <w:t xml:space="preserve">CARE A-</w:t>
            </w:r>
            <w:r>
              <w:t xml:space="preserve">’</w:t>
            </w:r>
          </w:p>
        </w:tc>
        <w:tc>
          <w:tcPr/>
          <w:p>
            <w:pPr>
              <w:pStyle w:val="Compact"/>
              <w:jc w:val="center"/>
            </w:pPr>
            <w:r>
              <w:t xml:space="preserve">Stable</w:t>
            </w:r>
          </w:p>
        </w:tc>
        <w:tc>
          <w:tcPr/>
          <w:p>
            <w:pPr>
              <w:pStyle w:val="Compact"/>
              <w:jc w:val="center"/>
            </w:pPr>
            <w:r>
              <w:t xml:space="preserve">Initech LLC</w:t>
            </w:r>
          </w:p>
        </w:tc>
      </w:tr>
      <w:tr>
        <w:tc>
          <w:tcPr/>
          <w:p>
            <w:pPr>
              <w:pStyle w:val="Compact"/>
              <w:jc w:val="center"/>
            </w:pPr>
            <w:r>
              <w:t xml:space="preserve">‘</w:t>
            </w:r>
            <w:r>
              <w:t xml:space="preserve">CARE A-</w:t>
            </w:r>
            <w:r>
              <w:t xml:space="preserve">’</w:t>
            </w:r>
          </w:p>
        </w:tc>
        <w:tc>
          <w:tcPr/>
          <w:p>
            <w:pPr>
              <w:pStyle w:val="Compact"/>
              <w:jc w:val="center"/>
            </w:pPr>
            <w:r>
              <w:t xml:space="preserve">Stable/ CARE A2</w:t>
            </w:r>
          </w:p>
        </w:tc>
        <w:tc>
          <w:tcPr/>
          <w:p>
            <w:pPr>
              <w:pStyle w:val="Compact"/>
              <w:jc w:val="center"/>
            </w:pPr>
            <w:r>
              <w:t xml:space="preserve">Long Term / Short Term Bank Facilities</w:t>
            </w:r>
          </w:p>
        </w:tc>
        <w:tc>
          <w:tcPr/>
          <w:p>
            <w:pPr>
              <w:pStyle w:val="Compact"/>
            </w:pPr>
          </w:p>
        </w:tc>
      </w:tr>
      <w:tr>
        <w:tc>
          <w:tcPr/>
          <w:p>
            <w:pPr>
              <w:pStyle w:val="Compact"/>
              <w:jc w:val="center"/>
            </w:pPr>
            <w:r>
              <w:t xml:space="preserve">‘</w:t>
            </w:r>
            <w:r>
              <w:t xml:space="preserve">CARE A2</w:t>
            </w:r>
            <w:r>
              <w:t xml:space="preserve">’</w:t>
            </w:r>
          </w:p>
        </w:tc>
        <w:tc>
          <w:tcPr/>
          <w:p>
            <w:pPr>
              <w:pStyle w:val="Compact"/>
              <w:jc w:val="center"/>
            </w:pPr>
            <w:r>
              <w:t xml:space="preserve">N.A.</w:t>
            </w:r>
          </w:p>
        </w:tc>
        <w:tc>
          <w:tcPr/>
          <w:p>
            <w:pPr>
              <w:pStyle w:val="Compact"/>
              <w:jc w:val="center"/>
            </w:pPr>
            <w:r>
              <w:t xml:space="preserve">Globex Inc</w:t>
            </w:r>
          </w:p>
        </w:tc>
        <w:tc>
          <w:tcPr/>
          <w:p>
            <w:pPr>
              <w:pStyle w:val="Compact"/>
            </w:pPr>
          </w:p>
        </w:tc>
      </w:tr>
      <w:tr>
        <w:tc>
          <w:tcPr/>
          <w:p>
            <w:pPr>
              <w:pStyle w:val="Compact"/>
              <w:jc w:val="center"/>
            </w:pPr>
            <w:r>
              <w:t xml:space="preserve">‘</w:t>
            </w:r>
            <w:r>
              <w:t xml:space="preserve">CARE A2</w:t>
            </w:r>
            <w:r>
              <w:t xml:space="preserve">’</w:t>
            </w:r>
          </w:p>
        </w:tc>
        <w:tc>
          <w:tcPr/>
          <w:p>
            <w:pPr>
              <w:pStyle w:val="Compact"/>
              <w:jc w:val="center"/>
            </w:pPr>
            <w:r>
              <w:t xml:space="preserve">N.A.</w:t>
            </w:r>
          </w:p>
        </w:tc>
        <w:tc>
          <w:tcPr/>
          <w:p>
            <w:pPr>
              <w:pStyle w:val="Compact"/>
              <w:jc w:val="center"/>
            </w:pPr>
            <w:r>
              <w:t xml:space="preserve">Globex Inc</w:t>
            </w:r>
          </w:p>
        </w:tc>
        <w:tc>
          <w:tcPr/>
          <w:p>
            <w:pPr>
              <w:pStyle w:val="Compact"/>
            </w:pPr>
          </w:p>
        </w:tc>
      </w:tr>
      <w:tr>
        <w:tc>
          <w:tcPr/>
          <w:p>
            <w:pPr>
              <w:pStyle w:val="Compact"/>
              <w:jc w:val="center"/>
            </w:pPr>
            <w:r>
              <w:t xml:space="preserve">November 30, 2022</w:t>
            </w:r>
          </w:p>
        </w:tc>
        <w:tc>
          <w:tcPr/>
          <w:p>
            <w:pPr>
              <w:pStyle w:val="Compact"/>
              <w:jc w:val="center"/>
            </w:pPr>
            <w:r>
              <w:t xml:space="preserve">‘</w:t>
            </w:r>
            <w:r>
              <w:t xml:space="preserve">CARE A-</w:t>
            </w:r>
            <w:r>
              <w:t xml:space="preserve">’</w:t>
            </w:r>
          </w:p>
        </w:tc>
        <w:tc>
          <w:tcPr/>
          <w:p>
            <w:pPr>
              <w:pStyle w:val="Compact"/>
              <w:jc w:val="center"/>
            </w:pPr>
            <w:r>
              <w:t xml:space="preserve">Positive</w:t>
            </w:r>
          </w:p>
        </w:tc>
        <w:tc>
          <w:tcPr/>
          <w:p>
            <w:pPr>
              <w:pStyle w:val="Compact"/>
              <w:jc w:val="center"/>
            </w:pPr>
            <w:r>
              <w:t xml:space="preserve">Initech LLC</w:t>
            </w:r>
          </w:p>
        </w:tc>
      </w:tr>
      <w:tr>
        <w:tc>
          <w:tcPr/>
          <w:p>
            <w:pPr>
              <w:pStyle w:val="Compact"/>
              <w:jc w:val="center"/>
            </w:pPr>
            <w:r>
              <w:t xml:space="preserve">‘</w:t>
            </w:r>
            <w:r>
              <w:t xml:space="preserve">CARE A-</w:t>
            </w:r>
            <w:r>
              <w:t xml:space="preserve">’</w:t>
            </w:r>
          </w:p>
        </w:tc>
        <w:tc>
          <w:tcPr/>
          <w:p>
            <w:pPr>
              <w:pStyle w:val="Compact"/>
              <w:jc w:val="center"/>
            </w:pPr>
            <w:r>
              <w:t xml:space="preserve">Positive / CARE A2</w:t>
            </w:r>
          </w:p>
        </w:tc>
        <w:tc>
          <w:tcPr/>
          <w:p>
            <w:pPr>
              <w:pStyle w:val="Compact"/>
              <w:jc w:val="center"/>
            </w:pPr>
            <w:r>
              <w:t xml:space="preserve">Long Term / Short Term Bank Facilities</w:t>
            </w:r>
          </w:p>
        </w:tc>
        <w:tc>
          <w:tcPr/>
          <w:p>
            <w:pPr>
              <w:pStyle w:val="Compact"/>
            </w:pPr>
          </w:p>
        </w:tc>
      </w:tr>
      <w:tr>
        <w:tc>
          <w:tcPr/>
          <w:p>
            <w:pPr>
              <w:pStyle w:val="Compact"/>
              <w:jc w:val="center"/>
            </w:pPr>
            <w:r>
              <w:t xml:space="preserve">‘</w:t>
            </w:r>
            <w:r>
              <w:t xml:space="preserve">CARE A-</w:t>
            </w:r>
            <w:r>
              <w:t xml:space="preserve">’</w:t>
            </w:r>
          </w:p>
        </w:tc>
        <w:tc>
          <w:tcPr/>
          <w:p>
            <w:pPr>
              <w:pStyle w:val="Compact"/>
              <w:jc w:val="center"/>
            </w:pPr>
            <w:r>
              <w:t xml:space="preserve">Positive / CARE A2</w:t>
            </w:r>
          </w:p>
        </w:tc>
        <w:tc>
          <w:tcPr/>
          <w:p>
            <w:pPr>
              <w:pStyle w:val="Compact"/>
              <w:jc w:val="center"/>
            </w:pPr>
            <w:r>
              <w:t xml:space="preserve">Long Term / Short Term Bank Facilities</w:t>
            </w:r>
          </w:p>
        </w:tc>
        <w:tc>
          <w:tcPr/>
          <w:p>
            <w:pPr>
              <w:pStyle w:val="Compact"/>
            </w:pPr>
          </w:p>
        </w:tc>
      </w:tr>
      <w:tr>
        <w:tc>
          <w:tcPr/>
          <w:p>
            <w:pPr>
              <w:pStyle w:val="Compact"/>
              <w:jc w:val="center"/>
            </w:pPr>
            <w:r>
              <w:t xml:space="preserve">‘</w:t>
            </w:r>
            <w:r>
              <w:t xml:space="preserve">CARE A2</w:t>
            </w:r>
            <w:r>
              <w:t xml:space="preserve">’</w:t>
            </w:r>
          </w:p>
        </w:tc>
        <w:tc>
          <w:tcPr/>
          <w:p>
            <w:pPr>
              <w:pStyle w:val="Compact"/>
              <w:jc w:val="center"/>
            </w:pPr>
            <w:r>
              <w:t xml:space="preserve">N.A.</w:t>
            </w:r>
          </w:p>
        </w:tc>
        <w:tc>
          <w:tcPr/>
          <w:p>
            <w:pPr>
              <w:pStyle w:val="Compact"/>
              <w:jc w:val="center"/>
            </w:pPr>
            <w:r>
              <w:t xml:space="preserve">Globex Inc</w:t>
            </w:r>
          </w:p>
        </w:tc>
        <w:tc>
          <w:tcPr/>
          <w:p>
            <w:pPr>
              <w:pStyle w:val="Compact"/>
            </w:pPr>
          </w:p>
        </w:tc>
      </w:tr>
    </w:tbl>
    <w:p>
      <w:pPr>
        <w:pStyle w:val="BodyText"/>
      </w:pPr>
      <w:r>
        <w:t xml:space="preserve">An inability to secure future financing on attractive terms or at all may adversely impact our strategic initiatives and our business prospects. Credit ratings reflect the opinion of the rating agency on our management, track record, diversified clientele, increase in scale and operations and margins, medium term revenue visibility and operating cycle.</w:t>
      </w:r>
    </w:p>
    <w:p>
      <w:pPr>
        <w:pStyle w:val="BodyText"/>
      </w:pPr>
      <w:r>
        <w:t xml:space="preserve">While our rating outlook has been revised from</w:t>
      </w:r>
      <w:r>
        <w:t xml:space="preserve"> </w:t>
      </w:r>
      <w:r>
        <w:t xml:space="preserve">‘</w:t>
      </w:r>
      <w:r>
        <w:t xml:space="preserve">positive</w:t>
      </w:r>
      <w:r>
        <w:t xml:space="preserve">’</w:t>
      </w:r>
      <w:r>
        <w:t xml:space="preserve"> </w:t>
      </w:r>
      <w:r>
        <w:t xml:space="preserve">to</w:t>
      </w:r>
      <w:r>
        <w:t xml:space="preserve"> </w:t>
      </w:r>
      <w:r>
        <w:t xml:space="preserve">‘</w:t>
      </w:r>
      <w:r>
        <w:t xml:space="preserve">stable</w:t>
      </w:r>
      <w:r>
        <w:t xml:space="preserve">’</w:t>
      </w:r>
      <w:r>
        <w:t xml:space="preserve"> </w:t>
      </w:r>
      <w:r>
        <w:t xml:space="preserve">in our latest ratings obtained on December 10, 2024, we have not experienced downgrading in our credit ratings received in the last three-month period ended June 30, 2025 or Fiscals 2025, 2024 and 2023, any downgrade in our credit ratings or our inability to obtain such credit rating in a timely manner or any non-availability of credit ratings, or poor ratings, could increase borrowing costs, will give the right to our lenders to review the facilities availed by us under our financing arrangements and adversely affect our access to capital and debt markets, which could in turn adversely affect our interest margins, our business, results of operations, financial condition and cash flows.</w:t>
      </w:r>
    </w:p>
    <w:p>
      <w:pPr>
        <w:pStyle w:val="BodyText"/>
      </w:pPr>
      <w:r>
        <w:t xml:space="preserve">Exchange rate fluctuations may adversely affect our business, financial conditions, cash flows and results of operations.</w:t>
      </w:r>
    </w:p>
    <w:p>
      <w:pPr>
        <w:pStyle w:val="BodyText"/>
      </w:pPr>
      <w:r>
        <w:t xml:space="preserve">Our financial statements are presented in Acme Corp. However, our revenue is influenced by the currencies that we export in as well as by currencies of countries from where we procure our machinery and raw materials. Our foreign currency exposures, exchange rate fluctuations between the Indian Rupee and foreign currencies, especially USD, EURO and SEK, may have an adverse impact on our results of operations, cash flows and financial condition. While</w:t>
      </w:r>
    </w:p>
    <w:p>
      <w:pPr>
        <w:pStyle w:val="BodyText"/>
      </w:pPr>
      <w:r>
        <w:t xml:space="preserve">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 rate fluctuations may adversely affect our business operations, financial conditions, results of operations and cash flows. While we have not experienced any instance of foreign exchange conversion loss in the three-month period ended June 30, 2025, or Fiscals 2025, 2024 and 2023, we cannot assure you that such instance will not arise in the future. For details of risks in relation in relation to our export sales, please see</w:t>
      </w:r>
      <w:r>
        <w:t xml:space="preserve"> </w:t>
      </w:r>
      <w:r>
        <w:t xml:space="preserve">“</w:t>
      </w:r>
      <w:r>
        <w:t xml:space="preserve">Risk Factors – We export our products to various countries and our revenue from outside India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t xml:space="preserve">”</w:t>
      </w:r>
      <w:r>
        <w:t xml:space="preserve"> </w:t>
      </w:r>
      <w:r>
        <w:t xml:space="preserve">on page 36.</w:t>
      </w:r>
    </w:p>
    <w:p>
      <w:pPr>
        <w:pStyle w:val="BodyText"/>
      </w:pPr>
      <w:r>
        <w:t xml:space="preserve">We undertake certain exchange rate hedging activities due to the size of our operations. We enter into hedging forward contracts, and further, we may in the future implement hedging strategies to mitigate these risks. However, these hedging strategies may not eliminate our exposure to foreign exchange rate fluctuations and involve costs and risks of their own, such as ongoing management time and expertise, external costs to implement the strategy and potential accounting implications.</w:t>
      </w:r>
    </w:p>
    <w:p>
      <w:pPr>
        <w:pStyle w:val="BodyText"/>
      </w:pPr>
      <w:r>
        <w:t xml:space="preserve">Fraud, employee misconduct or similar incidents may adversely affect our results of operations and cash flows.</w:t>
      </w:r>
    </w:p>
    <w:p>
      <w:pPr>
        <w:pStyle w:val="BodyText"/>
      </w:pPr>
      <w:r>
        <w:t xml:space="preserve">Fraud or misconduct by our employees such as leaking of confidential information in relation to our contracts, unauthorized business transaction, bribery, breach of any applicable law or our internal policies could result in regulatory actions and litigation thereby creating an adverse impact on our business, reputation, results of operations, financial condition and cash flows. Although we have controls in place with respect to the handling of such cases, we may be unable to prevent, detect or deter all such instances of misconduct. While there have been no instances in the three-month period ended June 30, 2025, or Fiscals 2025, 2024 and 2023, of any such fraud or misconduct committed by our Promoters, Director and/ or employees, including leaking of confidential information, unauthorized business transaction, bribery, breach of any applicable law or the internal policies of our Company which had resulted in regulatory actions 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 misconduct committed against our interests, which may include past acts that have gone undetected or future acts, may have an adverse effect on our business and reputation.</w:t>
      </w:r>
    </w:p>
    <w:p>
      <w:pPr>
        <w:pStyle w:val="BodyText"/>
      </w:pPr>
      <w:r>
        <w:t xml:space="preserve">Some of our manufacturing facilities and our Wayne Enterprises are leased by us. In the event we lose or are unable to renew such leasehold rights, our business, financial condition and results of operations may be adversely affected.</w:t>
      </w:r>
    </w:p>
    <w:p>
      <w:pPr>
        <w:pStyle w:val="BodyText"/>
      </w:pPr>
      <w:r>
        <w:t xml:space="preserve">Some of our properties, including manufacturing facilities and our Wayne Enterprises are leased by us. Our manufacturing facility at Unit 3 located at Chakan, Pune, Maharashtra, is on a leasehold basis for a period of three years with effect from August 2, 2023. For details in relation to the land on which our leased properties are located, see,</w:t>
      </w:r>
      <w:r>
        <w:t xml:space="preserve"> </w:t>
      </w:r>
      <w:r>
        <w:t xml:space="preserve">“</w:t>
      </w:r>
      <w:r>
        <w:t xml:space="preserve">Our Business – Property</w:t>
      </w:r>
      <w:r>
        <w:t xml:space="preserve">”</w:t>
      </w:r>
      <w:r>
        <w:t xml:space="preserve"> </w:t>
      </w:r>
      <w:r>
        <w:t xml:space="preserve">on page 236.</w:t>
      </w:r>
    </w:p>
    <w:p>
      <w:pPr>
        <w:pStyle w:val="BodyText"/>
      </w:pPr>
      <w:r>
        <w:t xml:space="preserve">We cannot assure you that we will be able to renew our leases on commercially favourable terms or at all. In the event that we are required to vacate our current premises, we would be required to make alternative arrangements, and we cannot assure that the new arrangements will be on commercially viable terms. If we are required to relocate our business operations during this period, we may suffer a disruption in our operations or have to pay increased charges, which could have an adverse effect on our business, prospects, results of operations and financial condition. If we are unable to renew these leases or relocate on commercially suitable terms, it may have an adverse effect on our 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source materials in a commercially viable and timely manner, if at all, which may impact our business and profitability.</w:t>
      </w:r>
    </w:p>
    <w:p>
      <w:pPr>
        <w:pStyle w:val="BodyText"/>
      </w:pPr>
      <w:r>
        <w:t xml:space="preserve">We have not made any alternate arrangements for meeting our capital requirements for the Objects of the Offer. Any shortfall in raising / meeting the same could adversely affect our growth plans, operations and financial performance.</w:t>
      </w:r>
    </w:p>
    <w:p>
      <w:pPr>
        <w:pStyle w:val="BodyText"/>
      </w:pPr>
      <w:r>
        <w:t xml:space="preserve">As on date, we have not made any alternate arrangements for meeting our capital requirements for the objects of the Offer. We meet our capital requirements through our bank finance, unsecured loans, owned funds and internal accruals. Any shortfall in our net owned funds, internal accruals and our inability to raise debt in future would result in us being unable to meet our capital requirements, which in turn will negatively affect our financial condition and results of operations. Further we have not identified any alternate source of funding and hence any failure or delay on our part</w:t>
      </w:r>
    </w:p>
    <w:p>
      <w:pPr>
        <w:pStyle w:val="BodyText"/>
      </w:pPr>
      <w:r>
        <w:t xml:space="preserve">to raise money from this Offer or any shortfall in the Offer proceeds may delay the implementation schedule and could adversely affect our growth plans. For further details please refer to the chapter titled</w:t>
      </w:r>
      <w:r>
        <w:t xml:space="preserve"> </w:t>
      </w:r>
      <w:r>
        <w:t xml:space="preserve">“</w:t>
      </w:r>
      <w:r>
        <w:t xml:space="preserve">Objects of the Offer</w:t>
      </w:r>
      <w:r>
        <w:t xml:space="preserve">”</w:t>
      </w:r>
      <w:r>
        <w:t xml:space="preserve"> </w:t>
      </w:r>
      <w:r>
        <w:t xml:space="preserve">on page 106 of this Red Herring Prospectus.</w:t>
      </w:r>
    </w:p>
    <w:p>
      <w:pPr>
        <w:pStyle w:val="BodyText"/>
      </w:pPr>
      <w:r>
        <w:t xml:space="preserve">A portion of the Net Proceeds may be utilised for repayment or prepayment of certain loan facilities availed by our Company.</w:t>
      </w:r>
    </w:p>
    <w:p>
      <w:pPr>
        <w:pStyle w:val="BodyText"/>
      </w:pPr>
      <w:r>
        <w:t xml:space="preserve">We propose to repay or pre-pay certain loan facilities availed by our Company from Wonka Ltd from the Net Proceeds. For details, see</w:t>
      </w:r>
      <w:r>
        <w:t xml:space="preserve"> </w:t>
      </w:r>
      <w:r>
        <w:t xml:space="preserve">“</w:t>
      </w:r>
      <w:r>
        <w:t xml:space="preserve">Objects of the Offer</w:t>
      </w:r>
      <w:r>
        <w:t xml:space="preserve">”</w:t>
      </w:r>
      <w:r>
        <w:t xml:space="preserve"> </w:t>
      </w:r>
      <w:r>
        <w:t xml:space="preserve">on page 106.</w:t>
      </w:r>
    </w:p>
    <w:p>
      <w:pPr>
        <w:pStyle w:val="BodyText"/>
      </w:pPr>
      <w:r>
        <w:t xml:space="preserve">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 (iv) provisions of any laws, rules and regulations governing such loan facilities, and (v) other commercial considerations including, among others, the amount of the loan outstanding and the remaining tenor of the loan.</w:t>
      </w:r>
    </w:p>
    <w:p>
      <w:pPr>
        <w:pStyle w:val="BodyText"/>
      </w:pPr>
      <w:r>
        <w:t xml:space="preserve">While a voluntary prepayment or scheduled re-payment of a portion of certain outstanding loan facilities will help reduce our outstanding indebtedness and debt servicing costs, assist us in maintaining a favourable debt to equity ratio and enable utilisation of our internal accruals for further investment in business growth and expansion, the repayment/ pre-payment will not result in the creation of any tangible assets for our Company. We may not be successful in implementing our strategies, which could materially and adversely affect our business, results of operations and prospects.</w:t>
      </w:r>
    </w:p>
    <w:p>
      <w:pPr>
        <w:pStyle w:val="BodyText"/>
      </w:pPr>
      <w:r>
        <w:t xml:space="preserve">The success of our business depends greatly on our ability to effectively manage our business and implement our strategies. For details, see section titled</w:t>
      </w:r>
      <w:r>
        <w:t xml:space="preserve"> </w:t>
      </w:r>
      <w:r>
        <w:t xml:space="preserve">“</w:t>
      </w:r>
      <w:r>
        <w:t xml:space="preserve">Our Business – Our Strategies</w:t>
      </w:r>
      <w:r>
        <w:t xml:space="preserve">”</w:t>
      </w:r>
      <w:r>
        <w:t xml:space="preserve"> </w:t>
      </w:r>
      <w:r>
        <w:t xml:space="preserve">on page 218. We will require significant capital investments and cash outlays, which is likely to have a material impact on our results of operations. Our ability to successfully execute these expansion plans will depend on various factors, including, among others:</w:t>
      </w:r>
    </w:p>
    <w:p>
      <w:pPr>
        <w:pStyle w:val="BodyText"/>
      </w:pPr>
      <w:r>
        <w:t xml:space="preserve">the availability, terms and costs of financing;</w:t>
      </w:r>
    </w:p>
    <w:p>
      <w:pPr>
        <w:pStyle w:val="BodyText"/>
      </w:pPr>
      <w:r>
        <w:t xml:space="preserve">the grant of regulatory approvals; and</w:t>
      </w:r>
    </w:p>
    <w:p>
      <w:pPr>
        <w:pStyle w:val="BodyText"/>
      </w:pPr>
      <w:r>
        <w:t xml:space="preserve">general economic conditions in such markets.</w:t>
      </w:r>
    </w:p>
    <w:p>
      <w:pPr>
        <w:pStyle w:val="BodyText"/>
      </w:pPr>
      <w:r>
        <w:t xml:space="preserve">To achieve and maintain future growth, we need to, inter alia, accurately assess new markets, attract new customers, obtain sufficient financing for our expected capital expenditures, control our input costs, effectively expand, train and manage our employees, maintain sufficient operational and financial controls and make additional capital investments to take advantage of anticipated market conditions. We may not be able to achieve growth in revenues and profits or maintain such rate of growth in the future. Moreover, if we experience extended periods of very rapid growth, we may not be able to manage our growth effectively with available resources. If we are unable to execute our strategies effectively, and in a timely and successful manner, our business, financial condition and profitability will be adversely affected.</w:t>
      </w:r>
    </w:p>
    <w:p>
      <w:pPr>
        <w:pStyle w:val="BodyText"/>
      </w:pPr>
      <w:r>
        <w:t xml:space="preserve">Our failure to keep our technical knowledge confidential could erode our competitive advantage.</w:t>
      </w:r>
    </w:p>
    <w:p>
      <w:pPr>
        <w:pStyle w:val="BodyText"/>
      </w:pPr>
      <w:r>
        <w:t xml:space="preserve">We possess technical knowledge about our products 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 i.e., knowledge of our manufacturing processes and related aspects, is an asset that may not be sufficiently protected by intellectual property rights. As a result, we cannot be certain that our technical knowledge will remain confidential in the long run. Certain technical knowledge may be leaked, either inadvertently or wilfully. Some of 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 In the event the confidential technical information in respect of our products or business becomes available to third parties or to the general public, any competitive advantage we may have over other companies in the sectors we operate in could be harmed. If a competitor is able to reproduce or otherwise capitalise on our technology, it may be difficult, expensive or impossible for us to obtain necessary legal protection. Any leakage of confidential technical information in the future could have an adverse effect on our business, results of operations, financial condition and future prospects. While we have not encountered any instances confidential information regarding our manufacturing operations, products, or customers being leaked in the three-month period ended June 30, 2025 or Fiscals 2025, 2024 and 2023, we cannot assure you that such instances will not arise in the future.</w:t>
      </w:r>
    </w:p>
    <w:p>
      <w:pPr>
        <w:pStyle w:val="BodyText"/>
      </w:pPr>
      <w:r>
        <w:t xml:space="preserve">Our Company has availed unsecured loans from financial institutions which may be recalled on demand.</w:t>
      </w:r>
    </w:p>
    <w:p>
      <w:pPr>
        <w:pStyle w:val="BodyText"/>
      </w:pPr>
      <w:r>
        <w:t xml:space="preserve">As of October 31, 2025, our Company has outstanding unsecured loans amounting to ₹ 397.59 million as unsecured loans for our working capital requirements from financial institutions which is repayable on demand to the relevant lenders. These loans are not repayable in accordance with any agreed repayment schedule and may be recalled by the relevant lender at any time. In such cases, our Company may be required to repay the entirety of the unsecured loans together with accrued interest. Our Company may not be able to generate sufficient funds at short notice to be able to repay such loans and may resort to refinancing such loans at a higher rate of interest and on terms not favourable to it. If we are unable to arrange for any such financing arrangements, we may not have adequate working capital to carry out the operations or complete our ongoing operations. Failure to repay unsecured loans in a timely manner may have a material adverse effect on our business, cash flows and financial condition. For further details of unsecured loans of our Company, see,</w:t>
      </w:r>
      <w:r>
        <w:t xml:space="preserve"> </w:t>
      </w:r>
      <w:r>
        <w:t xml:space="preserve">“</w:t>
      </w:r>
      <w:r>
        <w:t xml:space="preserve">Restated Financial Statement</w:t>
      </w:r>
      <w:r>
        <w:t xml:space="preserve">”</w:t>
      </w:r>
      <w:r>
        <w:t xml:space="preserve"> </w:t>
      </w:r>
      <w:r>
        <w:t xml:space="preserve">on page 280.</w:t>
      </w:r>
    </w:p>
    <w:p>
      <w:pPr>
        <w:pStyle w:val="BodyText"/>
      </w:pPr>
      <w:r>
        <w:t xml:space="preserve">We depend on our Vandelay Industries, Senior Management, Key Management Personnel and qualified and skilled personnel with technical expertise, and if we are unable to recruit and retain senior management, qualified and skilled personnel, our business and our ability to operate or grow our business maybe adversely affected.</w:t>
      </w:r>
    </w:p>
    <w:p>
      <w:pPr>
        <w:pStyle w:val="BodyText"/>
      </w:pPr>
      <w:r>
        <w:t xml:space="preserve">We are led by our Individual Promoters Kushal Subbayya Hegde, Mary Wilson, Mary Lee, Mary Smith and Umbrella Ltd. For further details, see</w:t>
      </w:r>
      <w:r>
        <w:t xml:space="preserve"> </w:t>
      </w:r>
      <w:r>
        <w:t xml:space="preserve">“</w:t>
      </w:r>
      <w:r>
        <w:t xml:space="preserve">Our Management</w:t>
      </w:r>
      <w:r>
        <w:t xml:space="preserve">”</w:t>
      </w:r>
      <w:r>
        <w:t xml:space="preserve"> </w:t>
      </w:r>
      <w:r>
        <w:t xml:space="preserve">and</w:t>
      </w:r>
      <w:r>
        <w:t xml:space="preserve"> </w:t>
      </w:r>
      <w:r>
        <w:t xml:space="preserve">“</w:t>
      </w:r>
      <w:r>
        <w:t xml:space="preserve">Our Promoter and Promoter Group</w:t>
      </w:r>
      <w:r>
        <w:t xml:space="preserve">”</w:t>
      </w:r>
      <w:r>
        <w:t xml:space="preserve"> </w:t>
      </w:r>
      <w:r>
        <w:t xml:space="preserve">on pages 250 and 269, respectively.</w:t>
      </w:r>
    </w:p>
    <w:p>
      <w:pPr>
        <w:pStyle w:val="BodyText"/>
      </w:pPr>
      <w:r>
        <w:t xml:space="preserve">Our future performance would depend on the continued service of our Vandelay Industries, Senior Management, Key Managerial Personnel, qualified and skilled personnel with technical expertise, and the loss of any senior employee and the inability to find an adequate replacement may impair our relationship with key customers and our level of technical expertise, which may adversely affect our business, cash flows, financial condition, results of operations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 compensation and other benefits in order to attract and retain personnel in the future, which may adversely affect our business, financial conditions, cash flows and results of operations.</w:t>
      </w:r>
    </w:p>
    <w:p>
      <w:pPr>
        <w:pStyle w:val="BodyText"/>
      </w:pPr>
      <w:r>
        <w:t xml:space="preserve">As on date, our Company does not have a business succession policy in place, and there can be no assurance that we will be able to effectively formulate or implement appropriate succession plans in the future. Any loss of members of our senior management team or key managerial personnel could significantly delay or prevent the achievement of our business objectives, affect our succession planning and could harm our business and customer relationships. While there have not been any instances of where we have not been able to effectively replace our members of senior management, or loss of key managerial personnel in the three-month period ended June 30, 2025, and the Fiscals 2025, 2024 and 2023, we cannot assure you that we would be effectively able to replace any loss of members of our senior management team or key managerial personnels in the future.</w:t>
      </w:r>
    </w:p>
    <w:p>
      <w:pPr>
        <w:pStyle w:val="BodyText"/>
      </w:pPr>
      <w:r>
        <w:t xml:space="preserve">The market for qualified professionals is competitive and we may not continue to be successful in our efforts to attract and retain qualified people. The specialized skills we require in our industry are difficult and time-consuming to acquire and, as a result, are in short supply. Our inability to hire, train and retain a sufficient number of qualified personnel could delay our ability to bring new products to the market and impair the success of our operations. We may also 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Text"/>
      </w:pPr>
      <w:r>
        <w:t xml:space="preserve">The following table sets forth the attrition rate for KMPs, SMs and other employees, respectively, in the period/ Fiscals indicated:</w:t>
      </w:r>
    </w:p>
    <w:tbl>
      <w:tblPr>
        <w:tblStyle w:val="Table"/>
        <w:tblW w:type="pct" w:w="5000"/>
        <w:tblLook w:firstRow="0" w:lastRow="0" w:firstColumn="0" w:lastColumn="0" w:noHBand="0" w:noVBand="0" w:val="0000"/>
        <w:jc w:val="start"/>
      </w:tblPr>
      <w:tblGrid>
        <w:gridCol w:w="1584"/>
        <w:gridCol w:w="1584"/>
        <w:gridCol w:w="1584"/>
        <w:gridCol w:w="1584"/>
        <w:gridCol w:w="1584"/>
      </w:tblGrid>
      <w:tr>
        <w:tc>
          <w:tcPr/>
          <w:p>
            <w:pPr>
              <w:pStyle w:val="Compact"/>
              <w:jc w:val="center"/>
            </w:pPr>
            <w:r>
              <w:t xml:space="preserve">Particulars</w:t>
            </w:r>
          </w:p>
        </w:tc>
        <w:tc>
          <w:tcPr/>
          <w:p>
            <w:pPr>
              <w:pStyle w:val="Compact"/>
              <w:jc w:val="center"/>
            </w:pPr>
            <w:r>
              <w:t xml:space="preserve">Three-month period ended June 30, 2025</w:t>
            </w:r>
          </w:p>
        </w:tc>
        <w:tc>
          <w:tcPr/>
          <w:p>
            <w:pPr>
              <w:pStyle w:val="Compact"/>
              <w:jc w:val="center"/>
            </w:pPr>
            <w:r>
              <w:t xml:space="preserve">Fiscal 2025</w:t>
            </w:r>
          </w:p>
        </w:tc>
        <w:tc>
          <w:tcPr/>
          <w:p>
            <w:pPr>
              <w:pStyle w:val="Compact"/>
              <w:jc w:val="center"/>
            </w:pPr>
            <w:r>
              <w:t xml:space="preserve">Fiscal 2024</w:t>
            </w:r>
          </w:p>
        </w:tc>
        <w:tc>
          <w:tcPr/>
          <w:p>
            <w:pPr>
              <w:pStyle w:val="Compact"/>
              <w:jc w:val="center"/>
            </w:pPr>
            <w:r>
              <w:t xml:space="preserve">Fiscal 2023</w:t>
            </w:r>
          </w:p>
        </w:tc>
      </w:tr>
      <w:tr>
        <w:tc>
          <w:tcPr/>
          <w:p>
            <w:pPr>
              <w:pStyle w:val="Compact"/>
              <w:jc w:val="center"/>
            </w:pPr>
            <w:r>
              <w:t xml:space="preserve">Cumulative attrition rate of KMPs and SMs</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9.09%</w:t>
            </w:r>
          </w:p>
        </w:tc>
        <w:tc>
          <w:tcPr/>
          <w:p>
            <w:pPr>
              <w:pStyle w:val="Compact"/>
              <w:jc w:val="center"/>
            </w:pPr>
            <w:r>
              <w:t xml:space="preserve">0.00%</w:t>
            </w:r>
          </w:p>
        </w:tc>
      </w:tr>
    </w:tbl>
    <w:p/>
    <w:tbl>
      <w:tblPr>
        <w:tblStyle w:val="Table"/>
        <w:tblW w:type="pct" w:w="5000"/>
        <w:tblLook w:firstRow="0" w:lastRow="0" w:firstColumn="0" w:lastColumn="0" w:noHBand="0" w:noVBand="0" w:val="0000"/>
        <w:jc w:val="start"/>
      </w:tblPr>
      <w:tblGrid>
        <w:gridCol w:w="1584"/>
        <w:gridCol w:w="1584"/>
        <w:gridCol w:w="1584"/>
        <w:gridCol w:w="1584"/>
        <w:gridCol w:w="1584"/>
      </w:tblGrid>
      <w:tr>
        <w:tc>
          <w:tcPr/>
          <w:p>
            <w:pPr>
              <w:pStyle w:val="Compact"/>
              <w:jc w:val="center"/>
            </w:pPr>
            <w:r>
              <w:t xml:space="preserve">Particulars</w:t>
            </w:r>
          </w:p>
        </w:tc>
        <w:tc>
          <w:tcPr/>
          <w:p>
            <w:pPr>
              <w:pStyle w:val="Compact"/>
              <w:jc w:val="center"/>
            </w:pPr>
            <w:r>
              <w:t xml:space="preserve">Three-month period ended June 30, 2025</w:t>
            </w:r>
          </w:p>
        </w:tc>
        <w:tc>
          <w:tcPr/>
          <w:p>
            <w:pPr>
              <w:pStyle w:val="Compact"/>
              <w:jc w:val="center"/>
            </w:pPr>
            <w:r>
              <w:t xml:space="preserve">Fiscal 2025</w:t>
            </w:r>
          </w:p>
        </w:tc>
        <w:tc>
          <w:tcPr/>
          <w:p>
            <w:pPr>
              <w:pStyle w:val="Compact"/>
              <w:jc w:val="center"/>
            </w:pPr>
            <w:r>
              <w:t xml:space="preserve">Fiscal 2024</w:t>
            </w:r>
          </w:p>
        </w:tc>
        <w:tc>
          <w:tcPr/>
          <w:p>
            <w:pPr>
              <w:pStyle w:val="Compact"/>
              <w:jc w:val="center"/>
            </w:pPr>
            <w:r>
              <w:t xml:space="preserve">Fiscal 2023</w:t>
            </w:r>
          </w:p>
        </w:tc>
      </w:tr>
      <w:tr>
        <w:tc>
          <w:tcPr/>
          <w:p>
            <w:pPr>
              <w:pStyle w:val="Compact"/>
              <w:jc w:val="center"/>
            </w:pPr>
            <w:r>
              <w:t xml:space="preserve">Employee attrition rate (excluding KMPs/ SMs)</w:t>
            </w:r>
          </w:p>
        </w:tc>
        <w:tc>
          <w:tcPr/>
          <w:p>
            <w:pPr>
              <w:pStyle w:val="Compact"/>
              <w:jc w:val="center"/>
            </w:pPr>
            <w:r>
              <w:t xml:space="preserve">4.00%</w:t>
            </w:r>
          </w:p>
        </w:tc>
        <w:tc>
          <w:tcPr/>
          <w:p>
            <w:pPr>
              <w:pStyle w:val="Compact"/>
              <w:jc w:val="center"/>
            </w:pPr>
            <w:r>
              <w:t xml:space="preserve">15.00%</w:t>
            </w:r>
          </w:p>
        </w:tc>
        <w:tc>
          <w:tcPr/>
          <w:p>
            <w:pPr>
              <w:pStyle w:val="Compact"/>
              <w:jc w:val="center"/>
            </w:pPr>
            <w:r>
              <w:t xml:space="preserve">12.10%</w:t>
            </w:r>
          </w:p>
        </w:tc>
        <w:tc>
          <w:tcPr/>
          <w:p>
            <w:pPr>
              <w:pStyle w:val="Compact"/>
              <w:jc w:val="center"/>
            </w:pPr>
            <w:r>
              <w:t xml:space="preserve">18.00%</w:t>
            </w:r>
          </w:p>
        </w:tc>
      </w:tr>
    </w:tbl>
    <w:p>
      <w:pPr>
        <w:pStyle w:val="BodyText"/>
      </w:pPr>
      <w:r>
        <w:t xml:space="preserve">For further details regarding the employees, see</w:t>
      </w:r>
      <w:r>
        <w:t xml:space="preserve"> </w:t>
      </w:r>
      <w:r>
        <w:t xml:space="preserve">“</w:t>
      </w:r>
      <w:r>
        <w:t xml:space="preserve">Our Business – Human Resources</w:t>
      </w:r>
      <w:r>
        <w:t xml:space="preserve">”</w:t>
      </w:r>
      <w:r>
        <w:t xml:space="preserve"> </w:t>
      </w:r>
      <w:r>
        <w:t xml:space="preserve">on page 235.</w:t>
      </w:r>
    </w:p>
    <w:p>
      <w:pPr>
        <w:pStyle w:val="BodyText"/>
      </w:pPr>
      <w:r>
        <w:t xml:space="preserve">Competition for individuals with specialized knowledge and experience is intense in our industry. Further, as we expect to continue to expand our operations and develop new products, we will need to continue to attract and retain experienced management personnel. If we are unable to retain or attract such members or are unable to locate suitable</w:t>
      </w:r>
    </w:p>
    <w:p>
      <w:pPr>
        <w:pStyle w:val="BodyText"/>
      </w:pPr>
      <w:r>
        <w:t xml:space="preserve">or qualified replacements, our results of operations may be adversely affected. For details of changes in our key management personnel, please see</w:t>
      </w:r>
      <w:r>
        <w:t xml:space="preserve"> </w:t>
      </w:r>
      <w:r>
        <w:t xml:space="preserve">“</w:t>
      </w:r>
      <w:r>
        <w:t xml:space="preserve">Our Management</w:t>
      </w:r>
      <w:r>
        <w:t xml:space="preserve">”</w:t>
      </w:r>
      <w:r>
        <w:t xml:space="preserve"> </w:t>
      </w:r>
      <w:r>
        <w:t xml:space="preserve">on page 250.</w:t>
      </w:r>
    </w:p>
    <w:p>
      <w:pPr>
        <w:pStyle w:val="BodyText"/>
      </w:pPr>
      <w:r>
        <w:t xml:space="preserve">An increase in employee attrition rates may result in an increase in recruitment and training costs for new hires, a decline in productivity and efficiency and loss of knowledge, skill and expertise. We cannot provide assurance that we will be able to grow our workforce in a manner consistent with our growth objectives, which may adversely affect our business, results of operations, cash flows and financial condition.</w:t>
      </w:r>
    </w:p>
    <w:p>
      <w:pPr>
        <w:pStyle w:val="BodyText"/>
      </w:pPr>
      <w:r>
        <w:t xml:space="preserve">Apart from two of our Directors, none of our Directors have any prior experience of directorships in listed companies. Post listing of the Equity Shares on the Stock Exchanges, our Company will be subject to the applicable regulatory requirements of a listed company, including regulations prescribed under SEBI Listing Regulations and the Companies Act. Any non-compliance with the regulatory requirements, due to lack of experience or otherwise, may subject us to adverse regulatory actions.</w:t>
      </w:r>
    </w:p>
    <w:p>
      <w:pPr>
        <w:pStyle w:val="BodyText"/>
      </w:pPr>
      <w:r>
        <w:t xml:space="preserve">As of the date of this Red Herring Prospectus, our Board comprises of eight Directors, of which four are Executive Directors, and four are Soylent Corp (including one woman Independent Director). While all of our directors have several years of experience and expertise in their respective fields, apart from two of our Soylent Corp, namely Initech LLC and Mary Doe, none of our Directors, are currently on the board of directors of companies that are listed on the stock exchanges in India or outside India. Accordingly, most of our Directors have limited exposure to management of affairs of a listed company which, inter alia, entails several compliance requirements and scrutiny of affairs by shareholders, regulators and the public at large that is associated with being a listed company.</w:t>
      </w:r>
    </w:p>
    <w:p>
      <w:pPr>
        <w:pStyle w:val="BodyText"/>
      </w:pPr>
      <w:r>
        <w:t xml:space="preserve">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 measures which were not applicable to us as an unlisted company. Any delay or non-compliance with such applicable regulatory requirements, due to lack of experience or otherwise, may present certain potential challenges for our Company including but not limited to adverse regulatory actions or imposition of fines.</w:t>
      </w:r>
    </w:p>
    <w:p>
      <w:pPr>
        <w:pStyle w:val="BodyText"/>
      </w:pPr>
      <w:r>
        <w:t xml:space="preserve">As a result, the Board of Directors may have to provide increased attention to such procedures and their attention may be diverted from our business concerns, which may adversely affect our business, prospects, results of operations and financial condition.</w:t>
      </w:r>
    </w:p>
    <w:p>
      <w:pPr>
        <w:pStyle w:val="BodyText"/>
      </w:pPr>
      <w:r>
        <w:t xml:space="preserve">We currently avail benefits under certain Government incentive schemes. Cancellation or our inability to meet the conditions under such schemes may result in adversely affect our business operations, cash flows, results of operations and financial condition.</w:t>
      </w:r>
    </w:p>
    <w:p>
      <w:pPr>
        <w:pStyle w:val="BodyText"/>
      </w:pPr>
      <w:r>
        <w:t xml:space="preserve">During the three-month period ended June 30, 2025, and preceding three Fiscals, our Company has availed certain incentives such as Merchandise Exports from India Scheme (</w:t>
      </w:r>
      <w:r>
        <w:t xml:space="preserve">“</w:t>
      </w:r>
      <w:r>
        <w:t xml:space="preserve">MEIS</w:t>
      </w:r>
      <w:r>
        <w:t xml:space="preserve">”</w:t>
      </w:r>
      <w:r>
        <w:t xml:space="preserve">) and Remission of Duties or Taxes on Export of Products Scheme (</w:t>
      </w:r>
      <w:r>
        <w:t xml:space="preserve">“</w:t>
      </w:r>
      <w:r>
        <w:t xml:space="preserve">RoDTEP</w:t>
      </w:r>
      <w:r>
        <w:t xml:space="preserve">”</w:t>
      </w:r>
      <w:r>
        <w:t xml:space="preserve">). The table below sets forth details relating to government incentive schemes:</w:t>
      </w:r>
    </w:p>
    <w:tbl>
      <w:tblPr>
        <w:tblStyle w:val="Table"/>
        <w:tblW w:type="pct" w:w="5000"/>
        <w:tblLook w:firstRow="0" w:lastRow="0" w:firstColumn="0" w:lastColumn="0" w:noHBand="0" w:noVBand="0" w:val="0000"/>
        <w:jc w:val="start"/>
      </w:tblPr>
      <w:tblGrid>
        <w:gridCol w:w="990"/>
        <w:gridCol w:w="990"/>
        <w:gridCol w:w="990"/>
        <w:gridCol w:w="990"/>
        <w:gridCol w:w="990"/>
        <w:gridCol w:w="990"/>
        <w:gridCol w:w="990"/>
        <w:gridCol w:w="990"/>
      </w:tblGrid>
      <w:tr>
        <w:tc>
          <w:tcPr/>
          <w:p>
            <w:pPr>
              <w:pStyle w:val="Compact"/>
              <w:jc w:val="center"/>
            </w:pPr>
            <w:r>
              <w:t xml:space="preserve">Three-month period ended June 30, 2025</w:t>
            </w:r>
          </w:p>
        </w:tc>
        <w:tc>
          <w:tcPr/>
          <w:p>
            <w:pPr>
              <w:pStyle w:val="Compact"/>
              <w:jc w:val="center"/>
            </w:pPr>
            <w:r>
              <w:t xml:space="preserve">Fiscal 2025</w:t>
            </w:r>
          </w:p>
        </w:tc>
        <w:tc>
          <w:tcPr/>
          <w:p>
            <w:pPr>
              <w:pStyle w:val="Compact"/>
              <w:jc w:val="center"/>
            </w:pPr>
            <w:r>
              <w:t xml:space="preserve">Fiscal 2024</w:t>
            </w:r>
          </w:p>
        </w:tc>
        <w:tc>
          <w:tcPr/>
          <w:p>
            <w:pPr>
              <w:pStyle w:val="Compact"/>
              <w:jc w:val="center"/>
            </w:pPr>
            <w:r>
              <w:t xml:space="preserve">Fiscal 2023</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Governmen t Incentive schemes (₹ in million)</w:t>
            </w:r>
          </w:p>
        </w:tc>
        <w:tc>
          <w:tcPr/>
          <w:p>
            <w:pPr>
              <w:pStyle w:val="Compact"/>
              <w:jc w:val="center"/>
            </w:pPr>
            <w:r>
              <w:t xml:space="preserve">Percentage of Revenue from Operations(%)</w:t>
            </w:r>
          </w:p>
        </w:tc>
        <w:tc>
          <w:tcPr/>
          <w:p>
            <w:pPr>
              <w:pStyle w:val="Compact"/>
              <w:jc w:val="center"/>
            </w:pPr>
            <w:r>
              <w:t xml:space="preserve">Government Incentive schemes (₹ in million)</w:t>
            </w:r>
          </w:p>
        </w:tc>
        <w:tc>
          <w:tcPr/>
          <w:p>
            <w:pPr>
              <w:pStyle w:val="Compact"/>
              <w:jc w:val="center"/>
            </w:pPr>
            <w:r>
              <w:t xml:space="preserve">Percentage of Revenue from Operations (%)</w:t>
            </w:r>
          </w:p>
        </w:tc>
        <w:tc>
          <w:tcPr/>
          <w:p>
            <w:pPr>
              <w:pStyle w:val="Compact"/>
              <w:jc w:val="center"/>
            </w:pPr>
            <w:r>
              <w:t xml:space="preserve">Government Incentive schemes (₹ in million)</w:t>
            </w:r>
          </w:p>
        </w:tc>
        <w:tc>
          <w:tcPr/>
          <w:p>
            <w:pPr>
              <w:pStyle w:val="Compact"/>
              <w:jc w:val="center"/>
            </w:pPr>
            <w:r>
              <w:t xml:space="preserve">Percentage of Revenue from Operations (%)</w:t>
            </w:r>
          </w:p>
        </w:tc>
        <w:tc>
          <w:tcPr/>
          <w:p>
            <w:pPr>
              <w:pStyle w:val="Compact"/>
              <w:jc w:val="center"/>
            </w:pPr>
            <w:r>
              <w:t xml:space="preserve">Government Incentive schemes (₹ in million)</w:t>
            </w:r>
          </w:p>
        </w:tc>
        <w:tc>
          <w:tcPr/>
          <w:p>
            <w:pPr>
              <w:pStyle w:val="Compact"/>
              <w:jc w:val="center"/>
            </w:pPr>
            <w:r>
              <w:t xml:space="preserve">Percentage of Revenue from Operations (%)</w:t>
            </w:r>
          </w:p>
        </w:tc>
      </w:tr>
      <w:tr>
        <w:tc>
          <w:tcPr/>
          <w:p>
            <w:pPr>
              <w:pStyle w:val="Compact"/>
              <w:jc w:val="center"/>
            </w:pPr>
            <w:r>
              <w:t xml:space="preserve">2.67</w:t>
            </w:r>
          </w:p>
        </w:tc>
        <w:tc>
          <w:tcPr/>
          <w:p>
            <w:pPr>
              <w:pStyle w:val="Compact"/>
              <w:jc w:val="center"/>
            </w:pPr>
            <w:r>
              <w:t xml:space="preserve">0.05%</w:t>
            </w:r>
          </w:p>
        </w:tc>
        <w:tc>
          <w:tcPr/>
          <w:p>
            <w:pPr>
              <w:pStyle w:val="Compact"/>
              <w:jc w:val="center"/>
            </w:pPr>
            <w:r>
              <w:t xml:space="preserve">25.58</w:t>
            </w:r>
          </w:p>
        </w:tc>
        <w:tc>
          <w:tcPr/>
          <w:p>
            <w:pPr>
              <w:pStyle w:val="Compact"/>
              <w:jc w:val="center"/>
            </w:pPr>
            <w:r>
              <w:t xml:space="preserve">0.13%</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0.75</w:t>
            </w:r>
          </w:p>
        </w:tc>
        <w:tc>
          <w:tcPr/>
          <w:p>
            <w:pPr>
              <w:pStyle w:val="Compact"/>
              <w:jc w:val="center"/>
            </w:pPr>
            <w:r>
              <w:t xml:space="preserve">0.01%</w:t>
            </w:r>
          </w:p>
        </w:tc>
      </w:tr>
    </w:tbl>
    <w:p>
      <w:pPr>
        <w:pStyle w:val="BodyText"/>
      </w:pPr>
      <w:r>
        <w:t xml:space="preserve">In relation to our upcoming projects, including in relation to, setting up of our Mary Walker, we expect to receive incentives from the Hooli Inc under the Maharashtra Industrial Policy, 2019 (</w:t>
      </w:r>
      <w:r>
        <w:t xml:space="preserve">“</w:t>
      </w:r>
      <w:r>
        <w:t xml:space="preserve">MIP</w:t>
      </w:r>
      <w:r>
        <w:t xml:space="preserve">”</w:t>
      </w:r>
      <w:r>
        <w:t xml:space="preserve">), which aims to incentivise the companies for setting up and/ or expanding existing facilities primarily based on certain revenue parameters. Key incentive under the MIP includes tax benefits of 50% of gross state GST for local sales made within Maharashtra, and customized benefits to mega and ultra mega units on a case-to-case basis.</w:t>
      </w:r>
    </w:p>
    <w:p>
      <w:pPr>
        <w:pStyle w:val="BodyText"/>
      </w:pPr>
      <w:r>
        <w:t xml:space="preserve">Our profitability will be affected to the extent that such benefits will not be available beyond the periods currently contemplated. Our profitability may be further affected in the future if any of such benefits are reduced or 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 66/2024-25, pursuant to which the support under the RoDTEP scheme has been retrospectively discontinued</w:t>
      </w:r>
    </w:p>
    <w:p>
      <w:pPr>
        <w:pStyle w:val="BodyText"/>
      </w:pPr>
      <w:r>
        <w:t xml:space="preserve">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BodyText"/>
      </w:pPr>
      <w:r>
        <w:t xml:space="preserve">We may be unable to adequately protect intellectual property that we use and may be subject to risks of infringement claims.</w:t>
      </w:r>
    </w:p>
    <w:p>
      <w:pPr>
        <w:pStyle w:val="BodyText"/>
      </w:pPr>
      <w:r>
        <w:t xml:space="preserve">We rely on our trademarks to protect our intellectual property, which is critical to our business. The protection of our intellectual property rights may require the expenditure of financial, managerial and operational resources. We rely on a combination of laws and regulations, confidentiality of information and contractual restrictions to protect our intellectual property. Despite our efforts to protect and enforce our proprietary rights, unauthorized parties have used, and may in the future use, our trademarks or similar trademarks, copy aspects of our website images, features, compilation and functionality or obtain and use information that we consider as proprietary, such as trade secrets.</w:t>
      </w:r>
    </w:p>
    <w:p>
      <w:pPr>
        <w:pStyle w:val="BodyText"/>
      </w:pPr>
      <w:r>
        <w:t xml:space="preserve">Our trademark</w:t>
      </w:r>
      <w:r>
        <w:t xml:space="preserve"> </w:t>
      </w:r>
      <w:r>
        <w:t xml:space="preserve">“</w:t>
      </w:r>
      <w:r>
        <w:t xml:space="preserve">KSH</w:t>
      </w:r>
      <w:r>
        <w:t xml:space="preserve">”</w:t>
      </w:r>
      <w:r>
        <w:t xml:space="preserve"> </w:t>
      </w:r>
      <w:r>
        <w:t xml:space="preserve">is also used by 18 other entities, including, (i) Wayne Enterprises; (ii) Stark Industries; (iii) KSH Infra Park 5 Private Limited; (iv) KSH Infra Park VI Private Limited; (v) Umbrella Ltd; (vi) Initech LLC; (vii) Globex Inc and Acme Corp; (viii) Mary Young I Private Limited; (ix) Mary Hall Park II Private Limited; (x) Waterloo Industrial Park III Private Limited; (xi) Waterloo Industrial Park IV Private Limited; (xii) Waterloo Industrial Park V Private Limited; (xiii) Waterloo Industrial Park VI Private Limited; (xiv) Mary Hall Park VIII Private Limited; (xv) Mary Hall Park IX Private Limited; (xvi) Mary Hall Park IX B Private Limited; (xvii) Mary Hall Park IX A Private Limited; and (xviii) KSH Infra Wonka Ltd (</w:t>
      </w:r>
      <w:r>
        <w:t xml:space="preserve">“</w:t>
      </w:r>
      <w:r>
        <w:t xml:space="preserve">Group Entities</w:t>
      </w:r>
      <w:r>
        <w:t xml:space="preserve">”</w:t>
      </w:r>
      <w:r>
        <w:t xml:space="preserve">). We have entered into consent and waiver letters each dated May 22, 2025, respectively, and authorisation letter dated November 27, 2025, with the Vandelay Industries setting out the arrangement on usage of the brand</w:t>
      </w:r>
      <w:r>
        <w:t xml:space="preserve"> </w:t>
      </w:r>
      <w:r>
        <w:t xml:space="preserve">“</w:t>
      </w:r>
      <w:r>
        <w:t xml:space="preserve">KSH</w:t>
      </w:r>
      <w:r>
        <w:t xml:space="preserve">”</w:t>
      </w:r>
      <w:r>
        <w:t xml:space="preserve">. As of date of this Red Herring Prospectus, we have permitted the Group Entities to use the</w:t>
      </w:r>
      <w:r>
        <w:t xml:space="preserve"> </w:t>
      </w:r>
      <w:r>
        <w:t xml:space="preserve">“</w:t>
      </w:r>
      <w:r>
        <w:t xml:space="preserve">KSH</w:t>
      </w:r>
      <w:r>
        <w:t xml:space="preserve">”</w:t>
      </w:r>
      <w:r>
        <w:t xml:space="preserve"> </w:t>
      </w:r>
      <w:r>
        <w:t xml:space="preserve">trademark without any payment, provided that certain terms and conditions therein are met. We cannot assure you that any waiver of consideration for using the</w:t>
      </w:r>
      <w:r>
        <w:t xml:space="preserve"> </w:t>
      </w:r>
      <w:r>
        <w:t xml:space="preserve">“</w:t>
      </w:r>
      <w:r>
        <w:t xml:space="preserve">KSH</w:t>
      </w:r>
      <w:r>
        <w:t xml:space="preserve">”</w:t>
      </w:r>
      <w:r>
        <w:t xml:space="preserve"> </w:t>
      </w:r>
      <w:r>
        <w:t xml:space="preserve">trademark would not have any adverse effect on our financial condition.</w:t>
      </w:r>
    </w:p>
    <w:p>
      <w:pPr>
        <w:pStyle w:val="BodyText"/>
      </w:pPr>
      <w:r>
        <w:t xml:space="preserve">Further, we do not hold any patents over our product formulae and have not made any applications in this respect. We may therefore not be able to prevent our competitors from developing, using or commercializing products that are functionally equivalent or similar to our products. This may lead to reduction in sales of some of our products.</w:t>
      </w:r>
    </w:p>
    <w:p>
      <w:pPr>
        <w:pStyle w:val="BodyText"/>
      </w:pPr>
      <w:r>
        <w:t xml:space="preserve">Additionally, the process of obtaining intellectual property protection is expensive and time-consuming, and the amount of compensation for damages can be limited. Even if issued, trademarks may not adequately protect our intellectual property, as the legal standards relating to the validity, enforceability and scope of protection of trademark and other intellectual property rights are applied on a case-by-case basis and it is generally difficult to predict the results of any litigation relating to such matters. Any litigation, whether or not it is resolved in our favour, could result in significant expense to us and divert the efforts of our technical and management personnel, which may adversely affect our business, financial condition, cash flows and results of operations. While there have not been any instances of infringement of our intellectual property rights which have come to our knowledge in the three-month period ended June 30, 2025 or Fiscals 2025, 2024 and 2023, we cannot assure you that such instances shall not occur in the future.</w:t>
      </w:r>
    </w:p>
    <w:p>
      <w:pPr>
        <w:pStyle w:val="BodyText"/>
      </w:pPr>
      <w:r>
        <w:t xml:space="preserve">Our insurance coverage may not be sufficient or adequate to protect us against all material hazards, which may adversely affect our business, results of operations, financial condition and cash flows</w:t>
      </w:r>
    </w:p>
    <w:p>
      <w:pPr>
        <w:pStyle w:val="BodyText"/>
      </w:pPr>
      <w:r>
        <w:t xml:space="preserve">Our operations are subject to various risks inherent in the manufacturing industry including defects, liability for 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numPr>
          <w:ilvl w:val="0"/>
          <w:numId w:val="1007"/>
        </w:numPr>
        <w:pStyle w:val="Compact"/>
      </w:pPr>
      <w:r>
        <w:t xml:space="preserve">marine open inland transit insurance; (ii) marine open export transit insurance (iii) standard fire and special perils policy; (iv) industrial all risk policy; (v) public liability industrial policy; and (vi) money insurance policy; (vii) group health insurance policy and (viii) burglary first loss policy. For further details of the insurance policies availed by our Company, see</w:t>
      </w:r>
      <w:r>
        <w:t xml:space="preserve"> </w:t>
      </w:r>
      <w:r>
        <w:t xml:space="preserve">“</w:t>
      </w:r>
      <w:r>
        <w:t xml:space="preserve">Our Business – Insurance</w:t>
      </w:r>
      <w:r>
        <w:t xml:space="preserve">”</w:t>
      </w:r>
      <w:r>
        <w:t xml:space="preserve"> </w:t>
      </w:r>
      <w:r>
        <w:t xml:space="preserve">on page 235. Our insurance may not be adequate to completely cover any or all of our risks and liabilities. Further, there is no assurance that the insurance premiums payable by us will be commercially viable or justifiable. Accordingly, our inability to maintain adequate insurance cover in connection with our business could adversely affect our operations and profitability.</w:t>
      </w:r>
    </w:p>
    <w:p>
      <w:pPr>
        <w:pStyle w:val="FirstParagraph"/>
      </w:pPr>
      <w:r>
        <w:t xml:space="preserve">The following table sets forth our insurance cover in absolute amount and as a percentage of net assets as of the dates indicated:</w:t>
      </w:r>
    </w:p>
    <w:tbl>
      <w:tblPr>
        <w:tblStyle w:val="Table"/>
        <w:tblW w:type="pct" w:w="5000"/>
        <w:tblLook w:firstRow="0" w:lastRow="0" w:firstColumn="0" w:lastColumn="0" w:noHBand="0" w:noVBand="0" w:val="0000"/>
        <w:jc w:val="start"/>
      </w:tblPr>
      <w:tblGrid>
        <w:gridCol w:w="1980"/>
        <w:gridCol w:w="1980"/>
        <w:gridCol w:w="1980"/>
        <w:gridCol w:w="1980"/>
      </w:tblGrid>
      <w:tr>
        <w:tc>
          <w:tcPr/>
          <w:p>
            <w:pPr>
              <w:pStyle w:val="Compact"/>
              <w:jc w:val="center"/>
            </w:pPr>
            <w:r>
              <w:t xml:space="preserve">Period</w:t>
            </w:r>
          </w:p>
        </w:tc>
        <w:tc>
          <w:tcPr/>
          <w:p>
            <w:pPr>
              <w:pStyle w:val="Compact"/>
              <w:jc w:val="center"/>
            </w:pPr>
            <w:r>
              <w:t xml:space="preserve">Book value of assets (in ₹ million)</w:t>
            </w:r>
          </w:p>
        </w:tc>
        <w:tc>
          <w:tcPr/>
          <w:p>
            <w:pPr>
              <w:pStyle w:val="Compact"/>
              <w:jc w:val="center"/>
            </w:pPr>
            <w:r>
              <w:t xml:space="preserve">Insurance Coverage** (in ₹ million)</w:t>
            </w:r>
          </w:p>
        </w:tc>
        <w:tc>
          <w:tcPr/>
          <w:p>
            <w:pPr>
              <w:pStyle w:val="Compact"/>
              <w:jc w:val="center"/>
            </w:pPr>
            <w:r>
              <w:t xml:space="preserve">Average Percentage of insurance coverage to net value of assets (in%)</w:t>
            </w:r>
          </w:p>
        </w:tc>
      </w:tr>
      <w:tr>
        <w:tc>
          <w:tcPr/>
          <w:p>
            <w:pPr>
              <w:pStyle w:val="Compact"/>
              <w:jc w:val="center"/>
            </w:pPr>
            <w:r>
              <w:t xml:space="preserve">As on three-month period ended June 30, 2025</w:t>
            </w:r>
          </w:p>
        </w:tc>
        <w:tc>
          <w:tcPr/>
          <w:p>
            <w:pPr>
              <w:pStyle w:val="Compact"/>
              <w:jc w:val="center"/>
            </w:pPr>
            <w:r>
              <w:t xml:space="preserve">4,560.56</w:t>
            </w:r>
          </w:p>
        </w:tc>
        <w:tc>
          <w:tcPr/>
          <w:p>
            <w:pPr>
              <w:pStyle w:val="Compact"/>
              <w:jc w:val="center"/>
            </w:pPr>
            <w:r>
              <w:t xml:space="preserve">5,531.49</w:t>
            </w:r>
          </w:p>
        </w:tc>
        <w:tc>
          <w:tcPr/>
          <w:p>
            <w:pPr>
              <w:pStyle w:val="Compact"/>
              <w:jc w:val="center"/>
            </w:pPr>
            <w:r>
              <w:t xml:space="preserve">121.29%</w:t>
            </w:r>
          </w:p>
        </w:tc>
      </w:tr>
      <w:tr>
        <w:tc>
          <w:tcPr/>
          <w:p>
            <w:pPr>
              <w:pStyle w:val="Compact"/>
              <w:jc w:val="center"/>
            </w:pPr>
            <w:r>
              <w:t xml:space="preserve">As on financial year ended March 31, 2025</w:t>
            </w:r>
          </w:p>
        </w:tc>
        <w:tc>
          <w:tcPr/>
          <w:p>
            <w:pPr>
              <w:pStyle w:val="Compact"/>
              <w:jc w:val="center"/>
            </w:pPr>
            <w:r>
              <w:t xml:space="preserve">4045.16</w:t>
            </w:r>
          </w:p>
        </w:tc>
        <w:tc>
          <w:tcPr/>
          <w:p>
            <w:pPr>
              <w:pStyle w:val="Compact"/>
              <w:jc w:val="center"/>
            </w:pPr>
            <w:r>
              <w:t xml:space="preserve">5,526.27</w:t>
            </w:r>
          </w:p>
        </w:tc>
        <w:tc>
          <w:tcPr/>
          <w:p>
            <w:pPr>
              <w:pStyle w:val="Compact"/>
              <w:jc w:val="center"/>
            </w:pPr>
            <w:r>
              <w:t xml:space="preserve">136.61%</w:t>
            </w:r>
          </w:p>
        </w:tc>
      </w:tr>
      <w:tr>
        <w:tc>
          <w:tcPr/>
          <w:p>
            <w:pPr>
              <w:pStyle w:val="Compact"/>
              <w:jc w:val="center"/>
            </w:pPr>
            <w:r>
              <w:t xml:space="preserve">As on financial year ended March 31, 2024</w:t>
            </w:r>
          </w:p>
        </w:tc>
        <w:tc>
          <w:tcPr/>
          <w:p>
            <w:pPr>
              <w:pStyle w:val="Compact"/>
              <w:jc w:val="center"/>
            </w:pPr>
            <w:r>
              <w:t xml:space="preserve">2,325.63</w:t>
            </w:r>
          </w:p>
        </w:tc>
        <w:tc>
          <w:tcPr/>
          <w:p>
            <w:pPr>
              <w:pStyle w:val="Compact"/>
              <w:jc w:val="center"/>
            </w:pPr>
            <w:r>
              <w:t xml:space="preserve">3,348.99</w:t>
            </w:r>
          </w:p>
        </w:tc>
        <w:tc>
          <w:tcPr/>
          <w:p>
            <w:pPr>
              <w:pStyle w:val="Compact"/>
              <w:jc w:val="center"/>
            </w:pPr>
            <w:r>
              <w:t xml:space="preserve">144.00%</w:t>
            </w:r>
          </w:p>
        </w:tc>
      </w:tr>
      <w:tr>
        <w:tc>
          <w:tcPr/>
          <w:p>
            <w:pPr>
              <w:pStyle w:val="Compact"/>
              <w:jc w:val="center"/>
            </w:pPr>
            <w:r>
              <w:t xml:space="preserve">As on financial year ended March 31, 2023</w:t>
            </w:r>
          </w:p>
        </w:tc>
        <w:tc>
          <w:tcPr/>
          <w:p>
            <w:pPr>
              <w:pStyle w:val="Compact"/>
              <w:jc w:val="center"/>
            </w:pPr>
            <w:r>
              <w:t xml:space="preserve">1,960.55</w:t>
            </w:r>
          </w:p>
        </w:tc>
        <w:tc>
          <w:tcPr/>
          <w:p>
            <w:pPr>
              <w:pStyle w:val="Compact"/>
              <w:jc w:val="center"/>
            </w:pPr>
            <w:r>
              <w:t xml:space="preserve">2,486.50</w:t>
            </w:r>
          </w:p>
        </w:tc>
        <w:tc>
          <w:tcPr/>
          <w:p>
            <w:pPr>
              <w:pStyle w:val="Compact"/>
              <w:jc w:val="center"/>
            </w:pPr>
            <w:r>
              <w:t xml:space="preserve">126.83%</w:t>
            </w:r>
          </w:p>
        </w:tc>
      </w:tr>
    </w:tbl>
    <w:p>
      <w:pPr>
        <w:pStyle w:val="BodyText"/>
      </w:pPr>
      <w:r>
        <w:t xml:space="preserve">* Assets represent Fixed Assets including Soylent Corp in Progress and Inventory and excluding Freehold Land and Leasehold Land, Intangibles, Investments, Cash and Bank Balances, other Bank Balances and Advances and Other Assets.</w:t>
      </w:r>
    </w:p>
    <w:p>
      <w:pPr>
        <w:pStyle w:val="BodyText"/>
      </w:pPr>
      <w:r>
        <w:t xml:space="preserve">** Insurance policies do not include Hooli Inc, Wayne Enterprises and Burglary Policies.</w:t>
      </w:r>
    </w:p>
    <w:p>
      <w:pPr>
        <w:pStyle w:val="BodyText"/>
      </w:pPr>
      <w:r>
        <w:t xml:space="preserve">While there have not been any instances where insurance coverage of our Company was inadequate to protect us against all material hazards and had adverse effect on the business, results of operations and financial condition of 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 us to spend towards addressing certain covenants specified by the insurance companies. Our Company has not made any insurance claims in the three-month period ended June 30, 2025, and Fiscal 2025, 2024, and 2023. However, our Company has recently made one insurance claim aggregating to ₹2.94 million on January 14, 2025, in relation to an instance involving fire in one of the online uninterrupted power supply units installed at our Unit 3 (</w:t>
      </w:r>
      <w:r>
        <w:t xml:space="preserve">“</w:t>
      </w:r>
      <w:r>
        <w:t xml:space="preserve">Insurance Claim</w:t>
      </w:r>
      <w:r>
        <w:t xml:space="preserve">”</w:t>
      </w:r>
      <w:r>
        <w:t xml:space="preserve">). The Insurance Claim was rejected by the insurer and our Company had borne the entire loss. To the extent that we suffer loss or damage as a result of events for which we did not obtain or maintain insurance, or which is not covered by insurance, exceeds our insurance coverage or the amount received pursuant to an insurance claim, the loss would have to be borne by us and our results of operations, financial performance and cash flows could be adversely affected.</w:t>
      </w:r>
    </w:p>
    <w:p>
      <w:pPr>
        <w:pStyle w:val="BodyText"/>
      </w:pPr>
      <w:r>
        <w:t xml:space="preserve">We have certain contingent liabilities that have not been provided for in our financial statements, which if they materialise, may adversely affect our financial condition.</w:t>
      </w:r>
    </w:p>
    <w:p>
      <w:pPr>
        <w:pStyle w:val="BodyText"/>
      </w:pPr>
      <w:r>
        <w:t xml:space="preserve">As at June 30, 2025, our contingent liabilities as per Ind AS 37 – provisions, contingent liabilities and contingent assets, that have not been provided for are as set out in the table below:</w:t>
      </w:r>
    </w:p>
    <w:p>
      <w:pPr>
        <w:pStyle w:val="BodyText"/>
      </w:pPr>
      <w:r>
        <w:t xml:space="preserve">(₹ in million)</w:t>
      </w:r>
    </w:p>
    <w:tbl>
      <w:tblPr>
        <w:tblStyle w:val="Table"/>
        <w:tblW w:type="auto" w:w="0"/>
        <w:tblLook w:firstRow="0" w:lastRow="0" w:firstColumn="0" w:lastColumn="0" w:noHBand="0" w:noVBand="0" w:val="0000"/>
        <w:jc w:val="start"/>
      </w:tblPr>
      <w:tblGrid>
        <w:gridCol w:w="3960"/>
        <w:gridCol w:w="3960"/>
      </w:tblGrid>
      <w:tr>
        <w:tc>
          <w:tcPr/>
          <w:p>
            <w:pPr>
              <w:pStyle w:val="Compact"/>
              <w:jc w:val="center"/>
            </w:pPr>
            <w:r>
              <w:t xml:space="preserve">Particulars</w:t>
            </w:r>
          </w:p>
        </w:tc>
        <w:tc>
          <w:tcPr/>
          <w:p>
            <w:pPr>
              <w:pStyle w:val="Compact"/>
              <w:jc w:val="center"/>
            </w:pPr>
            <w:r>
              <w:t xml:space="preserve">Amount as at June 30, 2025</w:t>
            </w:r>
          </w:p>
        </w:tc>
      </w:tr>
      <w:tr>
        <w:tc>
          <w:tcPr/>
          <w:p>
            <w:pPr>
              <w:pStyle w:val="Compact"/>
              <w:jc w:val="center"/>
            </w:pPr>
            <w:r>
              <w:t xml:space="preserve">Open bank guarantees outstanding</w:t>
            </w:r>
          </w:p>
        </w:tc>
        <w:tc>
          <w:tcPr/>
          <w:p>
            <w:pPr>
              <w:pStyle w:val="Compact"/>
              <w:jc w:val="center"/>
            </w:pPr>
            <w:r>
              <w:t xml:space="preserve">34.92</w:t>
            </w:r>
          </w:p>
        </w:tc>
      </w:tr>
    </w:tbl>
    <w:p>
      <w:pPr>
        <w:pStyle w:val="BodyText"/>
      </w:pPr>
      <w:r>
        <w:t xml:space="preserve">Our contingent liabilities may materialise and become actual liabilities. In such case, our business, financial condition, cash flows and results of operations may be adversely affected. For further information, see</w:t>
      </w:r>
      <w:r>
        <w:t xml:space="preserve"> </w:t>
      </w:r>
      <w:r>
        <w:t xml:space="preserve">“</w:t>
      </w:r>
      <w:r>
        <w:t xml:space="preserve">Restated Financial Statements – Note 28: Contingent liabilities and commitments</w:t>
      </w:r>
      <w:r>
        <w:t xml:space="preserve">”</w:t>
      </w:r>
      <w:r>
        <w:t xml:space="preserve"> </w:t>
      </w:r>
      <w:r>
        <w:t xml:space="preserve">on page 322.</w:t>
      </w:r>
    </w:p>
    <w:p>
      <w:pPr>
        <w:pStyle w:val="BodyText"/>
      </w:pPr>
      <w:r>
        <w:t xml:space="preserve">Our Promoters and certain of our Directors are interested in our Company in addition to their remuneration and reimbursement of expenses.</w:t>
      </w:r>
    </w:p>
    <w:p>
      <w:pPr>
        <w:pStyle w:val="BodyText"/>
      </w:pPr>
      <w:r>
        <w:t xml:space="preserve">Our Promoters and certain of our Directors have interests in us other than the reimbursement of expenses incurred and normal remuneration and benefits. They are interested in us to the extent of Globex Inc held by them, and their relatives in our Company or held by the entities in which they are associated as directors, promoters, proprietors, members, trustees or partners, or that may be subscribed by or allotted to the companies, firms, ventures, trusts in which they are interested as promoters, directors, partners, proprietors, members or trustees, pursuant to the Offer and any dividend and other distributions payable in respect of such Globex Inc. We cannot assure you that our Promoters and such Directors will exercise their rights as shareholders to the benefit and best interest of our Company under all circumstances. For further details in relation to the interest of our Promoters and Directors, see</w:t>
      </w:r>
      <w:r>
        <w:t xml:space="preserve"> </w:t>
      </w:r>
      <w:r>
        <w:t xml:space="preserve">“</w:t>
      </w:r>
      <w:r>
        <w:t xml:space="preserve">Summary of the Offer Document – Summary of related party transactions</w:t>
      </w:r>
      <w:r>
        <w:t xml:space="preserve">”</w:t>
      </w:r>
      <w:r>
        <w:t xml:space="preserve"> </w:t>
      </w:r>
      <w:r>
        <w:t xml:space="preserve">and</w:t>
      </w:r>
      <w:r>
        <w:t xml:space="preserve"> </w:t>
      </w:r>
      <w:r>
        <w:t xml:space="preserve">“</w:t>
      </w:r>
      <w:r>
        <w:t xml:space="preserve">Other Financial Information – Related Party Transactions</w:t>
      </w:r>
      <w:r>
        <w:t xml:space="preserve">”</w:t>
      </w:r>
      <w:r>
        <w:t xml:space="preserve"> </w:t>
      </w:r>
      <w:r>
        <w:t xml:space="preserve">on</w:t>
      </w:r>
      <w:r>
        <w:t xml:space="preserve"> </w:t>
      </w:r>
      <w:r>
        <w:t xml:space="preserve">“</w:t>
      </w:r>
      <w:r>
        <w:t xml:space="preserve">Our Promoters and Promoter Group – Interests of Promoters</w:t>
      </w:r>
      <w:r>
        <w:t xml:space="preserve">”</w:t>
      </w:r>
      <w:r>
        <w:t xml:space="preserve">,</w:t>
      </w:r>
      <w:r>
        <w:t xml:space="preserve"> </w:t>
      </w:r>
      <w:r>
        <w:t xml:space="preserve">“</w:t>
      </w:r>
      <w:r>
        <w:t xml:space="preserve">Our Management – Interest of Directors</w:t>
      </w:r>
      <w:r>
        <w:t xml:space="preserve">”</w:t>
      </w:r>
      <w:r>
        <w:t xml:space="preserve"> </w:t>
      </w:r>
      <w:r>
        <w:t xml:space="preserve">on pages 24, 355, 275 and 256, respectively.</w:t>
      </w:r>
    </w:p>
    <w:p>
      <w:pPr>
        <w:pStyle w:val="BodyText"/>
      </w:pPr>
      <w:r>
        <w:t xml:space="preserve">We cannot assure you that any Director who may be interested in the future, would always exercise their rights as Shareholders to the benefit and best interest of our Company. As 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 to our business, which may conflict with our best interests or the interests of other minority Shareholders, 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Text"/>
      </w:pPr>
      <w:r>
        <w:t xml:space="preserve">We have entered into, and will continue to enter into, related party transactions that may involve conflicts of interest.</w:t>
      </w:r>
    </w:p>
    <w:p>
      <w:pPr>
        <w:pStyle w:val="BodyText"/>
      </w:pPr>
      <w:r>
        <w:t xml:space="preserve">We have in the past entered into transactions with several related parties. For details regarding our related party transactions for the Fiscals 2025, 2024, 2023 and for the three-month period ended June 30, 2025, see</w:t>
      </w:r>
      <w:r>
        <w:t xml:space="preserve"> </w:t>
      </w:r>
      <w:r>
        <w:t xml:space="preserve">“</w:t>
      </w:r>
      <w:r>
        <w:t xml:space="preserve">Summary of the Offer Document – Summary of related party transactions</w:t>
      </w:r>
      <w:r>
        <w:t xml:space="preserve">”</w:t>
      </w:r>
      <w:r>
        <w:t xml:space="preserve"> </w:t>
      </w:r>
      <w:r>
        <w:t xml:space="preserve">and</w:t>
      </w:r>
      <w:r>
        <w:t xml:space="preserve"> </w:t>
      </w:r>
      <w:r>
        <w:t xml:space="preserve">“</w:t>
      </w:r>
      <w:r>
        <w:t xml:space="preserve">Other Financial Information – Related Party Transactions</w:t>
      </w:r>
      <w:r>
        <w:t xml:space="preserve">”</w:t>
      </w:r>
      <w:r>
        <w:t xml:space="preserve"> </w:t>
      </w:r>
      <w:r>
        <w:t xml:space="preserve">on pages 24 and 355, respectively. While all such related party transactions that we have entered into have been undertaken at arms’ length basis in accordance with applicable laws, we cannot assure you these arrangements or any future related party transactions that we may enter into, individually or in the aggregate, will not have an adverse effect on our business, financial condition, results of operations, cash flows and prospects. Although all related-party transactions that we may enter into will be subject to Audit Committee, Board or shareholder approval, as may be required under the Companies Act, 2013 and the SEBI Listing Regulations and the circulars issued by the SEBI in this regard, we cannot assure you that such transactions, individually or in the aggregate, will not have an adverse effect on our financial condition and results of operations or that our Company could not have undertaken such transactions on more favorable terms with any unrelated parties. We cannot assure you that any dispute that may arise between us and related parties will be resolved in our favour.</w:t>
      </w:r>
    </w:p>
    <w:p>
      <w:pPr>
        <w:pStyle w:val="BodyText"/>
      </w:pPr>
      <w:r>
        <w:t xml:space="preserve">Our Promoters and members of our Umbrella Ltd will continue to hold a significant equity stake in our Company after the Offer and their interests may differ from those of the other shareholders.</w:t>
      </w:r>
    </w:p>
    <w:p>
      <w:pPr>
        <w:pStyle w:val="BodyText"/>
      </w:pPr>
      <w:r>
        <w:t xml:space="preserve">As on the date of this Red Herring Prospectus, our Promoters and members of the Promoter Group collectively hold 98.40% of the paid-up Stark Industries capital of our Company. For further information on their shareholding pre and post-Offer, see</w:t>
      </w:r>
      <w:r>
        <w:t xml:space="preserve"> </w:t>
      </w:r>
      <w:r>
        <w:t xml:space="preserve">“</w:t>
      </w:r>
      <w:r>
        <w:t xml:space="preserve">Capital Structure</w:t>
      </w:r>
      <w:r>
        <w:t xml:space="preserve">”</w:t>
      </w:r>
      <w:r>
        <w:t xml:space="preserve"> </w:t>
      </w:r>
      <w:r>
        <w:t xml:space="preserve">on page 84. After the completion of the Offer, our Promoters along with the members of Umbrella Ltd will continue to collectively hold majority of the shareholding in our Company and will continue to exercise significant influence over our business policies and affairs and all matters requiring Shareholders’ approval, including the composition of our Board,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 that the Promoters or the members of the Promoter Group will act to resolve any conflict of interest in our favour and any such conflict may adversely affect our ability to execute our business strategy or to operate our business. For further information in relation to the interests of our Promoters in the Company, see</w:t>
      </w:r>
      <w:r>
        <w:t xml:space="preserve"> </w:t>
      </w:r>
      <w:r>
        <w:t xml:space="preserve">“</w:t>
      </w:r>
      <w:r>
        <w:t xml:space="preserve">Our Promoters and Promoter Group</w:t>
      </w:r>
      <w:r>
        <w:t xml:space="preserve">”</w:t>
      </w:r>
      <w:r>
        <w:t xml:space="preserve"> </w:t>
      </w:r>
      <w:r>
        <w:t xml:space="preserve">and</w:t>
      </w:r>
      <w:r>
        <w:t xml:space="preserve"> </w:t>
      </w:r>
      <w:r>
        <w:t xml:space="preserve">“</w:t>
      </w:r>
      <w:r>
        <w:t xml:space="preserve">Our Management</w:t>
      </w:r>
      <w:r>
        <w:t xml:space="preserve">”</w:t>
      </w:r>
      <w:r>
        <w:t xml:space="preserve"> </w:t>
      </w:r>
      <w:r>
        <w:t xml:space="preserve">on pages 269 and 250, respectively.</w:t>
      </w:r>
    </w:p>
    <w:p>
      <w:pPr>
        <w:pStyle w:val="BodyText"/>
      </w:pPr>
      <w:r>
        <w:t xml:space="preserve">Technological failures could disrupt our operations and adversely affect our business operations and financial performance.</w:t>
      </w:r>
    </w:p>
    <w:p>
      <w:pPr>
        <w:pStyle w:val="BodyText"/>
      </w:pPr>
      <w:r>
        <w:t xml:space="preserve">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December 20, 2021, with a vendor (</w:t>
      </w:r>
      <w:r>
        <w:t xml:space="preserve">“</w:t>
      </w:r>
      <w:r>
        <w:t xml:space="preserve">Cloud Services Vendor</w:t>
      </w:r>
      <w:r>
        <w:t xml:space="preserve">”</w:t>
      </w:r>
      <w:r>
        <w:t xml:space="preserve">) to streamline our record keeping and track our business operations. Any disruptions of services at Cloud Services Vendor’s end, shall be beyond our control and may adversely affect our business, financial condition and results of operations. While we have not experienced any instances of security breaches in the three-month period ended June 30, 2025, or Fiscals 2025, 2024 and 2023,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p>
    <w:p>
      <w:pPr>
        <w:pStyle w:val="BodyText"/>
      </w:pPr>
      <w:r>
        <w:t xml:space="preserve">Any variation in the utilization of the Net Proceeds as disclosed in this Vandelay Industries shall be subject to certain compliance requirements, including prior approval of the shareholders of our Company.</w:t>
      </w:r>
    </w:p>
    <w:p>
      <w:pPr>
        <w:pStyle w:val="BodyText"/>
      </w:pPr>
      <w:r>
        <w:t xml:space="preserve">We propose to utilize the Net Proceeds towards (i) Prepayment and/or repayment, in full or in part, of all or a portion of certain outstanding borrowings availed by our Company; (ii) Funding the capital expenditure requirements of our Company towards (b) purchasing and setting up of new machinery for expansion at our Mary Walker; and (b) purchasing and setting up of new machinery at Unit 2 in Chakan, Pune in Maharashtra; (iii) Funding the capital expenditure requirements of our Company towards purchasing and setting up of a rooftop solar power plant for power generation at our Mary Walker; and (iv) general corporate purposes. For further details of the proposed objects of the Offer, see</w:t>
      </w:r>
      <w:r>
        <w:t xml:space="preserve"> </w:t>
      </w:r>
      <w:r>
        <w:t xml:space="preserve">“</w:t>
      </w:r>
      <w:r>
        <w:t xml:space="preserve">Objects of the Offer</w:t>
      </w:r>
      <w:r>
        <w:t xml:space="preserve">”</w:t>
      </w:r>
      <w:r>
        <w:t xml:space="preserve"> </w:t>
      </w:r>
      <w:r>
        <w:t xml:space="preserve">on page 106. Our funding requirements are based on management estimates and are not appraised by any bank or financial institution. The deployment of the Net Proceeds will be at the discretion of our Board. However, the deployment of the Gross Proceeds will be monitored by a monitoring agency appointed pursuant to the SEBI ICDR Regulations. Further, we cannot determine with any certainty if we would require the Net Proceeds to meet another expenditure or fund any exigencies arising out of the competitive environment, business conditions, economic conditions or other factors beyond our control. In accordance with the Companies Act, 2013 and the SEBI ICDR Regulations, we cannot undertake variation in the utilization of the Net Proceeds as disclosed in this Red 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 may adversely affect our business or operations. Further, our Promoters would be required to provide an exit opportunity to the shareholders of our Company who do not agree with our proposal to modify the objects of the Offer, at a price and manner as prescribed by SEBI.</w:t>
      </w:r>
    </w:p>
    <w:p>
      <w:pPr>
        <w:pStyle w:val="BodyText"/>
      </w:pPr>
      <w:r>
        <w:t xml:space="preserve">Additionally, the requirement on Promoters to provide an exit opportunity to such dissenting shareholders of our Company may deter our Promoters from agreeing to the variation of the proposed utilization of the Net Proceeds, even if such variation is in the interest of our Company. Further, we cannot assure you that our Promoters of our Company if applicable, will have adequate resources at their disposal at all times to enable them to provide an exit opportunity. In light of these factors, we may not be able to vary the objects of the Offer to use any unutilized proceeds of the Fresh Issue, if any, even if such variation is in the interest of our Company. This may restrict our Company’s ability to respond to any change in our business or financial condition by re-deploying the unutilized portion of Initech LLC, if any, which may adversely affect our business, financial conditions, cash flows and results of operations.</w:t>
      </w:r>
    </w:p>
    <w:p>
      <w:pPr>
        <w:pStyle w:val="BodyText"/>
      </w:pPr>
      <w:r>
        <w:t xml:space="preserve">We may be susceptible to liabilities arising from violation of applicable anti-bribery and anti-corruption laws.</w:t>
      </w:r>
    </w:p>
    <w:p>
      <w:pPr>
        <w:pStyle w:val="BodyText"/>
      </w:pPr>
      <w:r>
        <w:t xml:space="preserve">We are subject to anti-corruption and anti-bribery laws that prohibit improper payments or offers of improper payments to governments and their officials and political parties for the purpose of obtaining or retaining business or securing an improper advantage and require the maintenance of internal controls to prevent such payments. Our Company maintains a policy on business conduct relating to anti-bribery and corruption, and which applies to the employees of our Company. Notwithstanding this, our employees might take actions that could expose us to liability under anti-bribery laws. In certain circumstances, we may be held liable for actions taken by our partners and agents, even though they are not always subject to our control. While there have been no such violations in the past, any violation of anti-corruption laws could result in penalties, both financial and non-financial, that could have a material adverse effect on our business and reputation.</w:t>
      </w:r>
    </w:p>
    <w:p>
      <w:pPr>
        <w:pStyle w:val="BodyText"/>
      </w:pPr>
      <w:r>
        <w:t xml:space="preserve">Our ability to pay dividends in the future will depend on our future cash flows, working capital requirements, capital expenditures and financial condition.</w:t>
      </w:r>
    </w:p>
    <w:p>
      <w:pPr>
        <w:pStyle w:val="BodyText"/>
      </w:pPr>
      <w:r>
        <w:t xml:space="preserve">We have not declared and paid dividend in the previous three Fiscals. For details, see section titled</w:t>
      </w:r>
      <w:r>
        <w:t xml:space="preserve"> </w:t>
      </w:r>
      <w:r>
        <w:t xml:space="preserve">“</w:t>
      </w:r>
      <w:r>
        <w:t xml:space="preserve">Dividend Policy</w:t>
      </w:r>
      <w:r>
        <w:t xml:space="preserve">”</w:t>
      </w:r>
      <w:r>
        <w:t xml:space="preserve"> </w:t>
      </w:r>
      <w:r>
        <w:t xml:space="preserve">on page 279. However, the amount of our future dividend payments, if any, will depend on our future earnings, cash flows, financial condition, working capital requirements, capital expenditures, applicable Indian legal restrictions and other factors. There can be no assurance that we will pay dividends. We may decide to retain all of our earnings to finance the development and expansion of our business and, therefore, may not declare dividends on our Globex Inc. Additionally, in the future, we may be restricted by the terms of our financing agreements in making dividend payments unless otherwise agreed with our lenders.</w:t>
      </w:r>
    </w:p>
    <w:p>
      <w:pPr>
        <w:pStyle w:val="BodyText"/>
      </w:pPr>
      <w:r>
        <w:t xml:space="preserve">The disclosures related to the educational qualifications of certain of our Promoters in this Red Herring Prospectus are based on declarations, affidavits, and undertakings furnished by them.</w:t>
      </w:r>
    </w:p>
    <w:p>
      <w:pPr>
        <w:pStyle w:val="BodyText"/>
      </w:pPr>
      <w:r>
        <w:t xml:space="preserve">Our Promoter, Chairman and Executive Director, Mary Brown, and our Promoter, Mary Clark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p>
    <w:p>
      <w:pPr>
        <w:pStyle w:val="BodyText"/>
      </w:pPr>
      <w:r>
        <w:t xml:space="preserve">verify these details in the absence of primary documentary evidence. Further, there can be no assurances that they will be able to trace the relevant documents pertaining to their educational qualifications in the future, or at all. Therefore, we cannot assure you that all or any of the information relating to his educational qualification included in</w:t>
      </w:r>
      <w:r>
        <w:t xml:space="preserve"> </w:t>
      </w:r>
      <w:r>
        <w:t xml:space="preserve">“</w:t>
      </w:r>
      <w:r>
        <w:t xml:space="preserve">Our Management</w:t>
      </w:r>
      <w:r>
        <w:t xml:space="preserve">”</w:t>
      </w:r>
      <w:r>
        <w:t xml:space="preserve"> </w:t>
      </w:r>
      <w:r>
        <w:t xml:space="preserve">on page 250 is complete, true and accurate.</w:t>
      </w:r>
    </w:p>
    <w:p>
      <w:pPr>
        <w:pStyle w:val="BodyText"/>
      </w:pPr>
      <w:r>
        <w:t xml:space="preserve">Our Company will not receive any proceeds from the Offer for Sale. Our Promoter Selling Shareholders will receive the proceeds from the Offer for Sale.</w:t>
      </w:r>
    </w:p>
    <w:p>
      <w:pPr>
        <w:pStyle w:val="BodyText"/>
      </w:pPr>
      <w:r>
        <w:t xml:space="preserve">The Offer comprises of a Fresh Issue and an Offer for Sale by the Promoter Selling Shareholders. Our Globex Inc Shareholders shall be entitled to the entire proceeds from the Offer for Sale (net of their respective portion of the Offer-related expenses) and we will not receive any proceeds from the Offer for Sale. For further information, see</w:t>
      </w:r>
      <w:r>
        <w:t xml:space="preserve"> </w:t>
      </w:r>
      <w:r>
        <w:t xml:space="preserve">“</w:t>
      </w:r>
      <w:r>
        <w:t xml:space="preserve">The Offer</w:t>
      </w:r>
      <w:r>
        <w:t xml:space="preserve">”</w:t>
      </w:r>
      <w:r>
        <w:t xml:space="preserve"> </w:t>
      </w:r>
      <w:r>
        <w:t xml:space="preserve">and</w:t>
      </w:r>
      <w:r>
        <w:t xml:space="preserve"> </w:t>
      </w:r>
      <w:r>
        <w:t xml:space="preserve">“</w:t>
      </w:r>
      <w:r>
        <w:t xml:space="preserve">Objects of the Offer</w:t>
      </w:r>
      <w:r>
        <w:t xml:space="preserve">”</w:t>
      </w:r>
      <w:r>
        <w:t xml:space="preserve"> </w:t>
      </w:r>
      <w:r>
        <w:t xml:space="preserve">on pages 67 and 106, respectively.</w:t>
      </w:r>
    </w:p>
    <w:p>
      <w:pPr>
        <w:pStyle w:val="BodyText"/>
      </w:pPr>
      <w:r>
        <w:t xml:space="preserve">SECTION III – INTRODUCTION THE OFFER</w:t>
      </w:r>
    </w:p>
    <w:p>
      <w:pPr>
        <w:pStyle w:val="BodyText"/>
      </w:pPr>
      <w:r>
        <w:t xml:space="preserve">The following table summarizes details of the Offer:</w:t>
      </w:r>
    </w:p>
    <w:tbl>
      <w:tblPr>
        <w:tblStyle w:val="Table"/>
        <w:tblW w:type="pct" w:w="5000"/>
        <w:tblLook w:firstRow="0" w:lastRow="0" w:firstColumn="0" w:lastColumn="0" w:noHBand="0" w:noVBand="0" w:val="0000"/>
        <w:jc w:val="start"/>
      </w:tblPr>
      <w:tblGrid>
        <w:gridCol w:w="3960"/>
        <w:gridCol w:w="3960"/>
      </w:tblGrid>
      <w:tr>
        <w:tc>
          <w:tcPr/>
          <w:p>
            <w:pPr>
              <w:pStyle w:val="Compact"/>
              <w:jc w:val="center"/>
            </w:pPr>
            <w:r>
              <w:t xml:space="preserve">Offer of Equity Shares (1)</w:t>
            </w:r>
          </w:p>
        </w:tc>
        <w:tc>
          <w:tcPr/>
          <w:p>
            <w:pPr>
              <w:pStyle w:val="Compact"/>
              <w:jc w:val="center"/>
            </w:pPr>
            <w:r>
              <w:t xml:space="preserve">Up to [●] Equity Shares of face value of ₹5 each, aggregating up to ₹7,100.00 million</w:t>
            </w:r>
          </w:p>
        </w:tc>
      </w:tr>
      <w:tr>
        <w:tc>
          <w:tcPr/>
          <w:p>
            <w:pPr>
              <w:pStyle w:val="Compact"/>
              <w:jc w:val="center"/>
            </w:pPr>
            <w:r>
              <w:t xml:space="preserve">Of which:</w:t>
            </w:r>
          </w:p>
        </w:tc>
        <w:tc>
          <w:tcPr/>
          <w:p>
            <w:pPr>
              <w:pStyle w:val="Compact"/>
            </w:pPr>
          </w:p>
        </w:tc>
      </w:tr>
      <w:tr>
        <w:tc>
          <w:tcPr/>
          <w:p>
            <w:pPr>
              <w:pStyle w:val="Compact"/>
              <w:jc w:val="center"/>
            </w:pPr>
            <w:r>
              <w:t xml:space="preserve">Fresh Issue(1)</w:t>
            </w:r>
          </w:p>
        </w:tc>
        <w:tc>
          <w:tcPr/>
          <w:p>
            <w:pPr>
              <w:pStyle w:val="Compact"/>
              <w:jc w:val="center"/>
            </w:pPr>
            <w:r>
              <w:t xml:space="preserve">Up to [●] Equity Shares of face value of ₹5 each, aggregating up to ₹4,200.00 million</w:t>
            </w:r>
          </w:p>
        </w:tc>
      </w:tr>
      <w:tr>
        <w:tc>
          <w:tcPr/>
          <w:p>
            <w:pPr>
              <w:pStyle w:val="Compact"/>
              <w:jc w:val="center"/>
            </w:pPr>
            <w:r>
              <w:t xml:space="preserve">Offer for Sale(2)(3)</w:t>
            </w:r>
          </w:p>
        </w:tc>
        <w:tc>
          <w:tcPr/>
          <w:p>
            <w:pPr>
              <w:pStyle w:val="Compact"/>
              <w:jc w:val="center"/>
            </w:pPr>
            <w:r>
              <w:t xml:space="preserve">Up to [●] Equity Shares of face value of ₹5 each, aggregating up to ₹2,900.00 million</w:t>
            </w:r>
          </w:p>
        </w:tc>
      </w:tr>
      <w:tr>
        <w:tc>
          <w:tcPr/>
          <w:p>
            <w:pPr>
              <w:pStyle w:val="Compact"/>
              <w:jc w:val="center"/>
            </w:pPr>
            <w:r>
              <w:t xml:space="preserve">The Offer comprises of:</w:t>
            </w:r>
          </w:p>
        </w:tc>
        <w:tc>
          <w:tcPr/>
          <w:p>
            <w:pPr>
              <w:pStyle w:val="Compact"/>
            </w:pPr>
          </w:p>
        </w:tc>
      </w:tr>
      <w:tr>
        <w:tc>
          <w:tcPr/>
          <w:p>
            <w:pPr>
              <w:pStyle w:val="Compact"/>
              <w:jc w:val="center"/>
            </w:pPr>
            <w:r>
              <w:t xml:space="preserve">A) QIB Portion(4)(5)(6)</w:t>
            </w:r>
          </w:p>
        </w:tc>
        <w:tc>
          <w:tcPr/>
          <w:p>
            <w:pPr>
              <w:pStyle w:val="Compact"/>
              <w:jc w:val="center"/>
            </w:pPr>
            <w:r>
              <w:t xml:space="preserve">Not more than [●] Equity Shares of face value of ₹5 each aggregating up to ₹[●] million</w:t>
            </w:r>
          </w:p>
        </w:tc>
      </w:tr>
      <w:tr>
        <w:tc>
          <w:tcPr/>
          <w:p>
            <w:pPr>
              <w:pStyle w:val="Compact"/>
              <w:jc w:val="center"/>
            </w:pPr>
            <w:r>
              <w:t xml:space="preserve">of which:</w:t>
            </w:r>
          </w:p>
        </w:tc>
        <w:tc>
          <w:tcPr/>
          <w:p>
            <w:pPr>
              <w:pStyle w:val="Compact"/>
            </w:pPr>
          </w:p>
        </w:tc>
      </w:tr>
      <w:tr>
        <w:tc>
          <w:tcPr/>
          <w:p>
            <w:pPr>
              <w:pStyle w:val="Compact"/>
              <w:jc w:val="center"/>
            </w:pPr>
            <w:r>
              <w:t xml:space="preserve">(i) Anchor Investor Portion(6)</w:t>
            </w:r>
          </w:p>
        </w:tc>
        <w:tc>
          <w:tcPr/>
          <w:p>
            <w:pPr>
              <w:pStyle w:val="Compact"/>
              <w:jc w:val="center"/>
            </w:pPr>
            <w:r>
              <w:t xml:space="preserve">Up to [●] Equity Shares of face value of ₹5 each</w:t>
            </w:r>
          </w:p>
        </w:tc>
      </w:tr>
      <w:tr>
        <w:tc>
          <w:tcPr/>
          <w:p>
            <w:pPr>
              <w:pStyle w:val="Compact"/>
              <w:jc w:val="center"/>
            </w:pPr>
            <w:r>
              <w:t xml:space="preserve">(ii) Net QIB Portion (assuming Anchor Investor Portion is fully subscribed)</w:t>
            </w:r>
          </w:p>
        </w:tc>
        <w:tc>
          <w:tcPr/>
          <w:p>
            <w:pPr>
              <w:pStyle w:val="Compact"/>
              <w:jc w:val="center"/>
            </w:pPr>
            <w:r>
              <w:t xml:space="preserve">Up to [●] Equity Shares of face value of ₹5 each</w:t>
            </w:r>
          </w:p>
        </w:tc>
      </w:tr>
      <w:tr>
        <w:tc>
          <w:tcPr/>
          <w:p>
            <w:pPr>
              <w:pStyle w:val="Compact"/>
              <w:jc w:val="center"/>
            </w:pPr>
            <w:r>
              <w:t xml:space="preserve">of which:</w:t>
            </w:r>
          </w:p>
        </w:tc>
        <w:tc>
          <w:tcPr/>
          <w:p>
            <w:pPr>
              <w:pStyle w:val="Compact"/>
            </w:pPr>
          </w:p>
        </w:tc>
      </w:tr>
      <w:tr>
        <w:tc>
          <w:tcPr/>
          <w:p>
            <w:pPr>
              <w:pStyle w:val="Compact"/>
              <w:jc w:val="center"/>
            </w:pPr>
            <w:r>
              <w:t xml:space="preserve">(a) Available for allocation to Hooli Inc only (5% of the Net QIB Portion)</w:t>
            </w:r>
          </w:p>
        </w:tc>
        <w:tc>
          <w:tcPr/>
          <w:p>
            <w:pPr>
              <w:pStyle w:val="Compact"/>
              <w:jc w:val="center"/>
            </w:pPr>
            <w:r>
              <w:t xml:space="preserve">Up to [●] Equity Shares of face value of ₹5 each</w:t>
            </w:r>
          </w:p>
        </w:tc>
      </w:tr>
      <w:tr>
        <w:tc>
          <w:tcPr/>
          <w:p>
            <w:pPr>
              <w:pStyle w:val="Compact"/>
              <w:jc w:val="center"/>
            </w:pPr>
            <w:r>
              <w:t xml:space="preserve">(b) Balance of QIB Portion for all QIBs including Mutual Funds</w:t>
            </w:r>
          </w:p>
        </w:tc>
        <w:tc>
          <w:tcPr/>
          <w:p>
            <w:pPr>
              <w:pStyle w:val="Compact"/>
              <w:jc w:val="center"/>
            </w:pPr>
            <w:r>
              <w:t xml:space="preserve">Up to [●] Equity Shares of face value of ₹5 each</w:t>
            </w:r>
          </w:p>
        </w:tc>
      </w:tr>
      <w:tr>
        <w:tc>
          <w:tcPr/>
          <w:p>
            <w:pPr>
              <w:pStyle w:val="Compact"/>
              <w:jc w:val="center"/>
            </w:pPr>
            <w:r>
              <w:t xml:space="preserve">B) Non-Institutional Portion(4)(5)</w:t>
            </w:r>
          </w:p>
        </w:tc>
        <w:tc>
          <w:tcPr/>
          <w:p>
            <w:pPr>
              <w:pStyle w:val="Compact"/>
              <w:jc w:val="center"/>
            </w:pPr>
            <w:r>
              <w:t xml:space="preserve">Not less than [●] Equity Shares of face value of ₹5 each aggregating up to ₹[●] million</w:t>
            </w:r>
          </w:p>
        </w:tc>
      </w:tr>
      <w:tr>
        <w:tc>
          <w:tcPr/>
          <w:p>
            <w:pPr>
              <w:pStyle w:val="Compact"/>
              <w:jc w:val="center"/>
            </w:pPr>
            <w:r>
              <w:t xml:space="preserve">of which:</w:t>
            </w:r>
          </w:p>
        </w:tc>
        <w:tc>
          <w:tcPr/>
          <w:p>
            <w:pPr>
              <w:pStyle w:val="Compact"/>
            </w:pPr>
          </w:p>
        </w:tc>
      </w:tr>
      <w:tr>
        <w:tc>
          <w:tcPr/>
          <w:p>
            <w:pPr>
              <w:pStyle w:val="Compact"/>
              <w:jc w:val="center"/>
            </w:pPr>
            <w:r>
              <w:t xml:space="preserve">(i) One-third available for allocation to Bidders with an application size of more than ₹0.20 million and up to ₹1.00 million</w:t>
            </w:r>
          </w:p>
        </w:tc>
        <w:tc>
          <w:tcPr/>
          <w:p>
            <w:pPr>
              <w:pStyle w:val="Compact"/>
              <w:jc w:val="center"/>
            </w:pPr>
            <w:r>
              <w:t xml:space="preserve">Up to [●] Equity Shares of face value of ₹5 each</w:t>
            </w:r>
          </w:p>
        </w:tc>
      </w:tr>
      <w:tr>
        <w:tc>
          <w:tcPr/>
          <w:p>
            <w:pPr>
              <w:pStyle w:val="Compact"/>
              <w:jc w:val="center"/>
            </w:pPr>
            <w:r>
              <w:t xml:space="preserve">(ii) Two-third available for allocation to Bidders with an application size of more than ₹1.00 million</w:t>
            </w:r>
          </w:p>
        </w:tc>
        <w:tc>
          <w:tcPr/>
          <w:p>
            <w:pPr>
              <w:pStyle w:val="Compact"/>
              <w:jc w:val="center"/>
            </w:pPr>
            <w:r>
              <w:t xml:space="preserve">Up to [●] Equity Shares of face value of ₹5 each</w:t>
            </w:r>
          </w:p>
        </w:tc>
      </w:tr>
      <w:tr>
        <w:tc>
          <w:tcPr/>
          <w:p>
            <w:pPr>
              <w:pStyle w:val="Compact"/>
              <w:jc w:val="center"/>
            </w:pPr>
            <w:r>
              <w:t xml:space="preserve">C) Retail Portion(4)(5)</w:t>
            </w:r>
          </w:p>
        </w:tc>
        <w:tc>
          <w:tcPr/>
          <w:p>
            <w:pPr>
              <w:pStyle w:val="Compact"/>
              <w:jc w:val="center"/>
            </w:pPr>
            <w:r>
              <w:t xml:space="preserve">Not less than [●] Equity Shares of face value of ₹5 each aggregating up to ₹[●] million</w:t>
            </w:r>
          </w:p>
        </w:tc>
      </w:tr>
      <w:tr>
        <w:tc>
          <w:tcPr/>
          <w:p>
            <w:pPr>
              <w:pStyle w:val="Compact"/>
              <w:jc w:val="center"/>
            </w:pPr>
            <w:r>
              <w:t xml:space="preserve">Pre- and post-Offer Equity Shares</w:t>
            </w:r>
          </w:p>
        </w:tc>
        <w:tc>
          <w:tcPr/>
          <w:p>
            <w:pPr>
              <w:pStyle w:val="Compact"/>
            </w:pPr>
          </w:p>
        </w:tc>
      </w:tr>
      <w:tr>
        <w:tc>
          <w:tcPr/>
          <w:p>
            <w:pPr>
              <w:pStyle w:val="Compact"/>
              <w:jc w:val="center"/>
            </w:pPr>
            <w:r>
              <w:t xml:space="preserve">Equity Shares outstanding prior to the Offer (as on the date of this Red Herring Prospectus)</w:t>
            </w:r>
          </w:p>
        </w:tc>
        <w:tc>
          <w:tcPr/>
          <w:p>
            <w:pPr>
              <w:pStyle w:val="Compact"/>
              <w:jc w:val="center"/>
            </w:pPr>
            <w:r>
              <w:t xml:space="preserve">56,818,200 Equity Shares of face value of ₹5 each</w:t>
            </w:r>
          </w:p>
        </w:tc>
      </w:tr>
      <w:tr>
        <w:tc>
          <w:tcPr/>
          <w:p>
            <w:pPr>
              <w:pStyle w:val="Compact"/>
              <w:jc w:val="center"/>
            </w:pPr>
            <w:r>
              <w:t xml:space="preserve">Equity Shares outstanding after the Offer*</w:t>
            </w:r>
          </w:p>
        </w:tc>
        <w:tc>
          <w:tcPr/>
          <w:p>
            <w:pPr>
              <w:pStyle w:val="Compact"/>
              <w:jc w:val="center"/>
            </w:pPr>
            <w:r>
              <w:t xml:space="preserve">[●] Equity Shares of face value of ₹5 each</w:t>
            </w:r>
          </w:p>
        </w:tc>
      </w:tr>
      <w:tr>
        <w:tc>
          <w:tcPr/>
          <w:p>
            <w:pPr>
              <w:pStyle w:val="Compact"/>
              <w:jc w:val="center"/>
            </w:pPr>
            <w:r>
              <w:t xml:space="preserve">Use of Net Proceeds of the Offer</w:t>
            </w:r>
          </w:p>
        </w:tc>
        <w:tc>
          <w:tcPr/>
          <w:p>
            <w:pPr>
              <w:pStyle w:val="Compact"/>
              <w:jc w:val="center"/>
            </w:pPr>
            <w:r>
              <w:t xml:space="preserve">See</w:t>
            </w:r>
            <w:r>
              <w:t xml:space="preserve"> </w:t>
            </w:r>
            <w:r>
              <w:t xml:space="preserve">“</w:t>
            </w:r>
            <w:r>
              <w:t xml:space="preserve">Objects of the Offer</w:t>
            </w:r>
            <w:r>
              <w:t xml:space="preserve">”</w:t>
            </w:r>
            <w:r>
              <w:t xml:space="preserve"> </w:t>
            </w:r>
            <w:r>
              <w:t xml:space="preserve">on page 106 for information about the use of the Net Proceeds of the Offer. Our Company will not receive any proceeds from the Offer for Sale.</w:t>
            </w:r>
          </w:p>
        </w:tc>
      </w:tr>
    </w:tbl>
    <w:p>
      <w:pPr>
        <w:pStyle w:val="BodyText"/>
      </w:pPr>
      <w:r>
        <w:t xml:space="preserve">* To be updated upon finalization of the Offer Price.</w:t>
      </w:r>
    </w:p>
    <w:p>
      <w:pPr>
        <w:pStyle w:val="BodyText"/>
      </w:pPr>
      <w:r>
        <w:t xml:space="preserve">The Offer has been authorized pursuant to the resolution passed by our Board dated May 6, 2025. Acme Corp has been authorized by our Shareholders by a special resolution dated May 6, 2025. Further, our Board has taken on record the consents of the Promoter Selling Shareholders to participate in the Offer for Sale pursuant to its resolution dated May 6, 2025 and IPO Committee has taken on record further updated consents of the Promoter Selling Shareholders pursuant to its resolutions dated May 22, 2025 and December 6, 2025, respectively.</w:t>
      </w:r>
    </w:p>
    <w:p>
      <w:pPr>
        <w:pStyle w:val="BodyText"/>
      </w:pPr>
      <w:r>
        <w:t xml:space="preserve">Our Promoter Selling Shareholders have confirmed and authorised their participation in the Offer for Sale as set out below:</w:t>
      </w:r>
    </w:p>
    <w:tbl>
      <w:tblPr>
        <w:tblStyle w:val="Table"/>
        <w:tblW w:type="pct" w:w="5000"/>
        <w:tblLook w:firstRow="0" w:lastRow="0" w:firstColumn="0" w:lastColumn="0" w:noHBand="0" w:noVBand="0" w:val="0000"/>
        <w:jc w:val="start"/>
      </w:tblPr>
      <w:tblGrid>
        <w:gridCol w:w="1584"/>
        <w:gridCol w:w="1584"/>
        <w:gridCol w:w="1584"/>
        <w:gridCol w:w="1584"/>
        <w:gridCol w:w="1584"/>
      </w:tblGrid>
      <w:tr>
        <w:tc>
          <w:tcPr/>
          <w:p>
            <w:pPr>
              <w:pStyle w:val="Compact"/>
              <w:jc w:val="center"/>
            </w:pPr>
            <w:r>
              <w:t xml:space="preserve">S. No.</w:t>
            </w:r>
          </w:p>
        </w:tc>
        <w:tc>
          <w:tcPr/>
          <w:p>
            <w:pPr>
              <w:pStyle w:val="Compact"/>
              <w:jc w:val="center"/>
            </w:pPr>
            <w:r>
              <w:t xml:space="preserve">Promoter Selling Shareholder</w:t>
            </w:r>
          </w:p>
        </w:tc>
        <w:tc>
          <w:tcPr/>
          <w:p>
            <w:pPr>
              <w:pStyle w:val="Compact"/>
              <w:jc w:val="center"/>
            </w:pPr>
            <w:r>
              <w:t xml:space="preserve">Maximum number of Globex Inc offered in the Offer for Sale</w:t>
            </w:r>
          </w:p>
        </w:tc>
        <w:tc>
          <w:tcPr/>
          <w:p>
            <w:pPr>
              <w:pStyle w:val="Compact"/>
              <w:jc w:val="center"/>
            </w:pPr>
            <w:r>
              <w:t xml:space="preserve">Aggregate amount of Offer for Sale (₹ in million)</w:t>
            </w:r>
          </w:p>
        </w:tc>
        <w:tc>
          <w:tcPr/>
          <w:p>
            <w:pPr>
              <w:pStyle w:val="Compact"/>
              <w:jc w:val="center"/>
            </w:pPr>
            <w:r>
              <w:t xml:space="preserve">Date of consent letter</w:t>
            </w:r>
          </w:p>
        </w:tc>
      </w:tr>
      <w:tr>
        <w:tc>
          <w:tcPr/>
          <w:p>
            <w:pPr>
              <w:pStyle w:val="Compact"/>
              <w:jc w:val="center"/>
            </w:pPr>
            <w:r>
              <w:t xml:space="preserve">1.</w:t>
            </w:r>
          </w:p>
        </w:tc>
        <w:tc>
          <w:tcPr/>
          <w:p>
            <w:pPr>
              <w:pStyle w:val="Compact"/>
              <w:jc w:val="center"/>
            </w:pPr>
            <w:r>
              <w:t xml:space="preserve">Mary Brown</w:t>
            </w:r>
          </w:p>
        </w:tc>
        <w:tc>
          <w:tcPr/>
          <w:p>
            <w:pPr>
              <w:pStyle w:val="Compact"/>
              <w:jc w:val="center"/>
            </w:pPr>
            <w:r>
              <w:t xml:space="preserve">[●]</w:t>
            </w:r>
          </w:p>
        </w:tc>
        <w:tc>
          <w:tcPr/>
          <w:p>
            <w:pPr>
              <w:pStyle w:val="Compact"/>
              <w:jc w:val="center"/>
            </w:pPr>
            <w:r>
              <w:t xml:space="preserve">Up to ₹1,528.00 million</w:t>
            </w:r>
          </w:p>
        </w:tc>
        <w:tc>
          <w:tcPr/>
          <w:p>
            <w:pPr>
              <w:pStyle w:val="Compact"/>
              <w:jc w:val="center"/>
            </w:pPr>
            <w:r>
              <w:t xml:space="preserve">December 6, 2025</w:t>
            </w:r>
          </w:p>
        </w:tc>
      </w:tr>
      <w:tr>
        <w:tc>
          <w:tcPr/>
          <w:p>
            <w:pPr>
              <w:pStyle w:val="Compact"/>
              <w:jc w:val="center"/>
            </w:pPr>
            <w:r>
              <w:t xml:space="preserve">2.</w:t>
            </w:r>
          </w:p>
        </w:tc>
        <w:tc>
          <w:tcPr/>
          <w:p>
            <w:pPr>
              <w:pStyle w:val="Compact"/>
              <w:jc w:val="center"/>
            </w:pPr>
            <w:r>
              <w:t xml:space="preserve">Mary Wilson</w:t>
            </w:r>
          </w:p>
        </w:tc>
        <w:tc>
          <w:tcPr/>
          <w:p>
            <w:pPr>
              <w:pStyle w:val="Compact"/>
              <w:jc w:val="center"/>
            </w:pPr>
            <w:r>
              <w:t xml:space="preserve">[●]</w:t>
            </w:r>
          </w:p>
        </w:tc>
        <w:tc>
          <w:tcPr/>
          <w:p>
            <w:pPr>
              <w:pStyle w:val="Compact"/>
              <w:jc w:val="center"/>
            </w:pPr>
            <w:r>
              <w:t xml:space="preserve">Up to ₹422.00 million</w:t>
            </w:r>
          </w:p>
        </w:tc>
        <w:tc>
          <w:tcPr/>
          <w:p>
            <w:pPr>
              <w:pStyle w:val="Compact"/>
              <w:jc w:val="center"/>
            </w:pPr>
            <w:r>
              <w:t xml:space="preserve">December 6, 2025</w:t>
            </w:r>
          </w:p>
        </w:tc>
      </w:tr>
      <w:tr>
        <w:tc>
          <w:tcPr/>
          <w:p>
            <w:pPr>
              <w:pStyle w:val="Compact"/>
              <w:jc w:val="center"/>
            </w:pPr>
            <w:r>
              <w:t xml:space="preserve">3.</w:t>
            </w:r>
          </w:p>
        </w:tc>
        <w:tc>
          <w:tcPr/>
          <w:p>
            <w:pPr>
              <w:pStyle w:val="Compact"/>
              <w:jc w:val="center"/>
            </w:pPr>
            <w:r>
              <w:t xml:space="preserve">Mary Lee</w:t>
            </w:r>
          </w:p>
        </w:tc>
        <w:tc>
          <w:tcPr/>
          <w:p>
            <w:pPr>
              <w:pStyle w:val="Compact"/>
              <w:jc w:val="center"/>
            </w:pPr>
            <w:r>
              <w:t xml:space="preserve">[●]</w:t>
            </w:r>
          </w:p>
        </w:tc>
        <w:tc>
          <w:tcPr/>
          <w:p>
            <w:pPr>
              <w:pStyle w:val="Compact"/>
              <w:jc w:val="center"/>
            </w:pPr>
            <w:r>
              <w:t xml:space="preserve">Up to ₹475.00 million</w:t>
            </w:r>
          </w:p>
        </w:tc>
        <w:tc>
          <w:tcPr/>
          <w:p>
            <w:pPr>
              <w:pStyle w:val="Compact"/>
              <w:jc w:val="center"/>
            </w:pPr>
            <w:r>
              <w:t xml:space="preserve">December 6, 2025</w:t>
            </w:r>
          </w:p>
        </w:tc>
      </w:tr>
      <w:tr>
        <w:tc>
          <w:tcPr/>
          <w:p>
            <w:pPr>
              <w:pStyle w:val="Compact"/>
              <w:jc w:val="center"/>
            </w:pPr>
            <w:r>
              <w:t xml:space="preserve">4.</w:t>
            </w:r>
          </w:p>
        </w:tc>
        <w:tc>
          <w:tcPr/>
          <w:p>
            <w:pPr>
              <w:pStyle w:val="Compact"/>
              <w:jc w:val="center"/>
            </w:pPr>
            <w:r>
              <w:t xml:space="preserve">Mary Smith</w:t>
            </w:r>
          </w:p>
        </w:tc>
        <w:tc>
          <w:tcPr/>
          <w:p>
            <w:pPr>
              <w:pStyle w:val="Compact"/>
              <w:jc w:val="center"/>
            </w:pPr>
            <w:r>
              <w:t xml:space="preserve">[●]</w:t>
            </w:r>
          </w:p>
        </w:tc>
        <w:tc>
          <w:tcPr/>
          <w:p>
            <w:pPr>
              <w:pStyle w:val="Compact"/>
              <w:jc w:val="center"/>
            </w:pPr>
            <w:r>
              <w:t xml:space="preserve">Up to ₹475.00 million</w:t>
            </w:r>
          </w:p>
        </w:tc>
        <w:tc>
          <w:tcPr/>
          <w:p>
            <w:pPr>
              <w:pStyle w:val="Compact"/>
              <w:jc w:val="center"/>
            </w:pPr>
            <w:r>
              <w:t xml:space="preserve">December 6, 2025</w:t>
            </w:r>
          </w:p>
        </w:tc>
      </w:tr>
    </w:tbl>
    <w:p>
      <w:pPr>
        <w:pStyle w:val="BodyText"/>
      </w:pPr>
      <w:r>
        <w:t xml:space="preserve">Wonka Ltd held by the respective Promoter Selling Shareholders and being offered by the Promoter Selling Shareholders are eligible to form a part of the Offer for Sale in terms of the SEBI ICDR Regulations. Each of the Promoter Selling Shareholders, severally and not jointly, confirms that the Equity Shares being offered by it are eligible for being offered for sale pursuant to the Offer in terms of Regulation 8 of the SEBI ICDR Regulations. For further details of authorizations received for the Offer, see</w:t>
      </w:r>
      <w:r>
        <w:t xml:space="preserve"> </w:t>
      </w:r>
      <w:r>
        <w:t xml:space="preserve">“</w:t>
      </w:r>
      <w:r>
        <w:t xml:space="preserve">Other Regulatory and Statutory Disclosures</w:t>
      </w:r>
      <w:r>
        <w:t xml:space="preserve">”</w:t>
      </w:r>
      <w:r>
        <w:t xml:space="preserve"> </w:t>
      </w:r>
      <w:r>
        <w:t xml:space="preserve">on page 398.</w:t>
      </w:r>
    </w:p>
    <w:p>
      <w:pPr>
        <w:pStyle w:val="BodyText"/>
      </w:pPr>
      <w:r>
        <w:t xml:space="preserve">Subject to valid bids being received at or above the Offer Price, under subscription, if any, in any category, except in the QIB Portion, would be allowed to be met with spill-over from any other category or combination of categories of Bidders, as applicable, at the discretion of our Company, in consultation with the BRLMs and Vandelay Industries, subject to applicable laws. Undersubscription in the Offer, if any, subject to receiving minimum subscription for 90% of the Fresh Issue and compliance with Rule 19(2)(b) of the Securities Contracts (Regulation) Rules, 1957, the Allotment for the valid Bids will be made in the first instance towards subscription for 90% of the Fresh Issue. For further details, see</w:t>
      </w:r>
      <w:r>
        <w:t xml:space="preserve"> </w:t>
      </w:r>
      <w:r>
        <w:t xml:space="preserve">“</w:t>
      </w:r>
      <w:r>
        <w:t xml:space="preserve">Offer Structure</w:t>
      </w:r>
      <w:r>
        <w:t xml:space="preserve">”</w:t>
      </w:r>
      <w:r>
        <w:t xml:space="preserve"> </w:t>
      </w:r>
      <w:r>
        <w:t xml:space="preserve">on page 417.</w:t>
      </w:r>
    </w:p>
    <w:p>
      <w:pPr>
        <w:pStyle w:val="BodyText"/>
      </w:pPr>
      <w:r>
        <w:t xml:space="preserve">Allocation to Bidders in all categories, except Anchor Investors, if any, Non-Institutional Investors and Retail Individual Investors, shall be made on a proportionate basis subject to valid Bids received at or above the Offer Price. The allocation to each Retail Individual Investors shall not be less than the minimum Bid Lot, subject to availability of Globex Inc in the Retail Portion and the remaining available Globex Inc, if any, shall be allocated on a proportionate basis. Not less than 15% of the Offer shall be available for allocation to Non-Institutional Investors of which one-third of the Non-Institutional Portion will be available for allocation to Bidders with an application size of more than ₹0.20 million and up to ₹1.00 million and two-thirds of the Non-Institutional Portion will be available for allocation to Bidders with an application size of more than ₹1.00 million and under-subscription in either of these two sub-categories of Soylent Corp may be allocated to Bidders in the other sub-category of Soylent Corp. The allocation to each Non-Institutional Investors shall not be less than the minimum application size, subject to availability of Globex Inc in the Non-Institutional Portion and the remaining available Globex Inc, if any, shall be allocated on a proportionate basis.</w:t>
      </w:r>
    </w:p>
    <w:p>
      <w:pPr>
        <w:pStyle w:val="BodyText"/>
      </w:pPr>
      <w:r>
        <w:t xml:space="preserve">Our Company, in consultation with the BRLMs, may allocate up to 60% of the QIB Portion to Anchor Investors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 in (ii) above may be allocated to domestic John Doe, in accordance with the SEBI ICDR Regulations.. In the event of under-subscription in the Anchor Investor Portion, the remaining Equity Shares shall be added to the Net QIB Portion. Further, 5% of the Net QIB Portion shall be available for allocation on a proportionate basis to Hooli Inc only, and the remainder of the Net QIB Portion shall be available for allocation on a proportionate basis to all QIB Bidders (other than Anchor Investors), including Hooli Inc, subject to valid Bids being received at or above the Offer Price. However, if the aggregate demand from Mutual Funds is less than as specified above, the balance Globex Inc available for Allotment in the Mutual Fund Portion will be added to the Net QIB Portion and allocated proportionately to the QIB Bidders (other than Anchor Investors) in proportion to their Bids. For further information, see</w:t>
      </w:r>
      <w:r>
        <w:t xml:space="preserve"> </w:t>
      </w:r>
      <w:r>
        <w:t xml:space="preserve">“</w:t>
      </w:r>
      <w:r>
        <w:t xml:space="preserve">Offer Procedure</w:t>
      </w:r>
      <w:r>
        <w:t xml:space="preserve">”</w:t>
      </w:r>
      <w:r>
        <w:t xml:space="preserve"> </w:t>
      </w:r>
      <w:r>
        <w:t xml:space="preserve">on page 420.</w:t>
      </w:r>
    </w:p>
    <w:p>
      <w:pPr>
        <w:pStyle w:val="BodyText"/>
      </w:pPr>
      <w:r>
        <w:t xml:space="preserve">For further details including in relation to grounds for rejection of Bids, see</w:t>
      </w:r>
      <w:r>
        <w:t xml:space="preserve"> </w:t>
      </w:r>
      <w:r>
        <w:t xml:space="preserve">“</w:t>
      </w:r>
      <w:r>
        <w:t xml:space="preserve">Offer Structure</w:t>
      </w:r>
      <w:r>
        <w:t xml:space="preserve">”</w:t>
      </w:r>
      <w:r>
        <w:t xml:space="preserve">,</w:t>
      </w:r>
      <w:r>
        <w:t xml:space="preserve"> </w:t>
      </w:r>
      <w:r>
        <w:t xml:space="preserve">“</w:t>
      </w:r>
      <w:r>
        <w:t xml:space="preserve">Offer Procedure</w:t>
      </w:r>
      <w:r>
        <w:t xml:space="preserve">”</w:t>
      </w:r>
      <w:r>
        <w:t xml:space="preserve"> </w:t>
      </w:r>
      <w:r>
        <w:t xml:space="preserve">and</w:t>
      </w:r>
      <w:r>
        <w:t xml:space="preserve"> </w:t>
      </w:r>
      <w:r>
        <w:t xml:space="preserve">“</w:t>
      </w:r>
      <w:r>
        <w:t xml:space="preserve">Terms of the Offer</w:t>
      </w:r>
      <w:r>
        <w:t xml:space="preserve">”</w:t>
      </w:r>
      <w:r>
        <w:t xml:space="preserve"> </w:t>
      </w:r>
      <w:r>
        <w:t xml:space="preserve">on pages 417, 420 and 411.</w:t>
      </w:r>
    </w:p>
    <w:p>
      <w:pPr>
        <w:pStyle w:val="BodyText"/>
      </w:pPr>
      <w:r>
        <w:t xml:space="preserve">SUMMARY FINANCIAL STATEMENTS</w:t>
      </w:r>
    </w:p>
    <w:p>
      <w:pPr>
        <w:pStyle w:val="BodyText"/>
      </w:pPr>
      <w:r>
        <w:t xml:space="preserve">The following tables set forth the summary financial information derived from the Restated Financial Statements. The summary financial information presented below should be read in conjunction with</w:t>
      </w:r>
      <w:r>
        <w:t xml:space="preserve"> </w:t>
      </w:r>
      <w:r>
        <w:t xml:space="preserve">“</w:t>
      </w:r>
      <w:r>
        <w:t xml:space="preserve">Financial Information</w:t>
      </w:r>
      <w:r>
        <w:t xml:space="preserve">”</w:t>
      </w:r>
      <w:r>
        <w:t xml:space="preserve"> </w:t>
      </w:r>
      <w:r>
        <w:t xml:space="preserve">and</w:t>
      </w:r>
      <w:r>
        <w:t xml:space="preserve"> </w:t>
      </w:r>
      <w:r>
        <w:t xml:space="preserve">“</w:t>
      </w:r>
      <w:r>
        <w:t xml:space="preserve">Management’s Discussion and Analysis of Financial Condition and Results of Operations</w:t>
      </w:r>
      <w:r>
        <w:t xml:space="preserve">”</w:t>
      </w:r>
      <w:r>
        <w:t xml:space="preserve"> </w:t>
      </w:r>
      <w:r>
        <w:t xml:space="preserve">on pages 280 and 356, respectively.</w:t>
      </w:r>
    </w:p>
    <w:p>
      <w:pPr>
        <w:pStyle w:val="BodyText"/>
      </w:pPr>
      <w:r>
        <w:t xml:space="preserve">(The remainder of the page has intentionally been left blank)</w:t>
      </w:r>
    </w:p>
    <w:p>
      <w:pPr>
        <w:pStyle w:val="BodyText"/>
      </w:pPr>
      <w:r>
        <w:t xml:space="preserve">GENERAL INFORMATION</w:t>
      </w:r>
    </w:p>
    <w:p>
      <w:pPr>
        <w:pStyle w:val="BodyText"/>
      </w:pPr>
      <w:r>
        <w:t xml:space="preserve">Registered Office of our Company KSH International Limited</w:t>
      </w:r>
    </w:p>
    <w:p>
      <w:pPr>
        <w:pStyle w:val="BodyText"/>
      </w:pPr>
      <w:r>
        <w:t xml:space="preserve">11/3, 11/4 and 100 Cedar Lane, Fairview</w:t>
      </w:r>
    </w:p>
    <w:p>
      <w:pPr>
        <w:pStyle w:val="BodyText"/>
      </w:pPr>
      <w:r>
        <w:t xml:space="preserve">Maharashtra, India</w:t>
      </w:r>
    </w:p>
    <w:p>
      <w:pPr>
        <w:pStyle w:val="BodyText"/>
      </w:pPr>
      <w:r>
        <w:t xml:space="preserve">For details of change in our registered office, see</w:t>
      </w:r>
      <w:r>
        <w:t xml:space="preserve"> </w:t>
      </w:r>
      <w:r>
        <w:t xml:space="preserve">“</w:t>
      </w:r>
      <w:r>
        <w:t xml:space="preserve">History and Certain Corporate Matters – Changes in our Stark Industries</w:t>
      </w:r>
      <w:r>
        <w:t xml:space="preserve">”</w:t>
      </w:r>
      <w:r>
        <w:t xml:space="preserve"> </w:t>
      </w:r>
      <w:r>
        <w:t xml:space="preserve">on page 243.</w:t>
      </w:r>
    </w:p>
    <w:p>
      <w:pPr>
        <w:pStyle w:val="BodyText"/>
      </w:pPr>
      <w:r>
        <w:t xml:space="preserve">Wayne Enterprises of our Company KSH International Limited</w:t>
      </w:r>
    </w:p>
    <w:p>
      <w:pPr>
        <w:pStyle w:val="BodyText"/>
      </w:pPr>
      <w:r>
        <w:t xml:space="preserve">100 Cedar Lane, Rivertown Maharashtra, India</w:t>
      </w:r>
    </w:p>
    <w:p>
      <w:pPr>
        <w:pStyle w:val="BodyText"/>
      </w:pPr>
      <w:r>
        <w:t xml:space="preserve">Company registration number and corporate identity number</w:t>
      </w:r>
    </w:p>
    <w:p>
      <w:pPr>
        <w:pStyle w:val="BodyText"/>
      </w:pPr>
      <w:r>
        <w:t xml:space="preserve">Registration number: 141032</w:t>
      </w:r>
    </w:p>
    <w:p>
      <w:pPr>
        <w:pStyle w:val="BodyText"/>
      </w:pPr>
      <w:r>
        <w:t xml:space="preserve">Corporate identity number: U28129PN1979PLC141032</w:t>
      </w:r>
    </w:p>
    <w:p>
      <w:pPr>
        <w:pStyle w:val="BodyText"/>
      </w:pPr>
      <w:r>
        <w:t xml:space="preserve">Address of the RoC</w:t>
      </w:r>
    </w:p>
    <w:p>
      <w:pPr>
        <w:pStyle w:val="BodyText"/>
      </w:pPr>
      <w:r>
        <w:t xml:space="preserve">Our Company is registered with the Registrar of Companies, Maharashtra at Pune, which is situated at the following address:</w:t>
      </w:r>
    </w:p>
    <w:p>
      <w:pPr>
        <w:pStyle w:val="BodyText"/>
      </w:pPr>
      <w:r>
        <w:t xml:space="preserve">Registrar of Companies, Maharashtra at Pune</w:t>
      </w:r>
    </w:p>
    <w:p>
      <w:pPr>
        <w:pStyle w:val="BodyText"/>
      </w:pPr>
      <w:r>
        <w:t xml:space="preserve">PCNTDA Stark Industries A 100 Cedar Lane, Springfield Maharashtra, India</w:t>
      </w:r>
    </w:p>
    <w:p>
      <w:pPr>
        <w:pStyle w:val="BodyText"/>
      </w:pPr>
      <w:r>
        <w:t xml:space="preserve">Board of Directors of our Company</w:t>
      </w:r>
    </w:p>
    <w:p>
      <w:pPr>
        <w:pStyle w:val="BodyText"/>
      </w:pPr>
      <w:r>
        <w:t xml:space="preserve">The following table sets out the brief details of our Board of Directors as on the date of this Red Herring Prospectus:</w:t>
      </w:r>
    </w:p>
    <w:tbl>
      <w:tblPr>
        <w:tblStyle w:val="Table"/>
        <w:tblW w:type="pct" w:w="5000"/>
        <w:tblLook w:firstRow="0" w:lastRow="0" w:firstColumn="0" w:lastColumn="0" w:noHBand="0" w:noVBand="0" w:val="0000"/>
        <w:jc w:val="start"/>
      </w:tblPr>
      <w:tblGrid>
        <w:gridCol w:w="1980"/>
        <w:gridCol w:w="1980"/>
        <w:gridCol w:w="1980"/>
        <w:gridCol w:w="1980"/>
      </w:tblGrid>
      <w:tr>
        <w:tc>
          <w:tcPr/>
          <w:p>
            <w:pPr>
              <w:pStyle w:val="Compact"/>
              <w:jc w:val="center"/>
            </w:pPr>
            <w:r>
              <w:t xml:space="preserve">Name</w:t>
            </w:r>
          </w:p>
        </w:tc>
        <w:tc>
          <w:tcPr/>
          <w:p>
            <w:pPr>
              <w:pStyle w:val="Compact"/>
              <w:jc w:val="center"/>
            </w:pPr>
            <w:r>
              <w:t xml:space="preserve">Designation</w:t>
            </w:r>
          </w:p>
        </w:tc>
        <w:tc>
          <w:tcPr/>
          <w:p>
            <w:pPr>
              <w:pStyle w:val="Compact"/>
              <w:jc w:val="center"/>
            </w:pPr>
            <w:r>
              <w:t xml:space="preserve">DIN</w:t>
            </w:r>
          </w:p>
        </w:tc>
        <w:tc>
          <w:tcPr/>
          <w:p>
            <w:pPr>
              <w:pStyle w:val="Compact"/>
              <w:jc w:val="center"/>
            </w:pPr>
            <w:r>
              <w:t xml:space="preserve">Address</w:t>
            </w:r>
          </w:p>
        </w:tc>
      </w:tr>
      <w:tr>
        <w:tc>
          <w:tcPr/>
          <w:p>
            <w:pPr>
              <w:pStyle w:val="Compact"/>
              <w:jc w:val="center"/>
            </w:pPr>
            <w:r>
              <w:t xml:space="preserve">Mary Brown</w:t>
            </w:r>
          </w:p>
        </w:tc>
        <w:tc>
          <w:tcPr/>
          <w:p>
            <w:pPr>
              <w:pStyle w:val="Compact"/>
              <w:jc w:val="center"/>
            </w:pPr>
            <w:r>
              <w:t xml:space="preserve">Chairman and Executive Director</w:t>
            </w:r>
          </w:p>
        </w:tc>
        <w:tc>
          <w:tcPr/>
          <w:p>
            <w:pPr>
              <w:pStyle w:val="Compact"/>
              <w:jc w:val="center"/>
            </w:pPr>
            <w:r>
              <w:t xml:space="preserve">00135070</w:t>
            </w:r>
          </w:p>
        </w:tc>
        <w:tc>
          <w:tcPr/>
          <w:p>
            <w:pPr>
              <w:pStyle w:val="Compact"/>
              <w:jc w:val="center"/>
            </w:pPr>
            <w:r>
              <w:t xml:space="preserve">S. no. 245/ 104, Pushpakamal, Deccan Gymkhana Society, lane no. 100 Elm Road, Millbrook Maharashtra, India</w:t>
            </w:r>
          </w:p>
        </w:tc>
      </w:tr>
      <w:tr>
        <w:tc>
          <w:tcPr/>
          <w:p>
            <w:pPr>
              <w:pStyle w:val="Compact"/>
              <w:jc w:val="center"/>
            </w:pPr>
            <w:r>
              <w:t xml:space="preserve">Mary Lee</w:t>
            </w:r>
          </w:p>
        </w:tc>
        <w:tc>
          <w:tcPr/>
          <w:p>
            <w:pPr>
              <w:pStyle w:val="Compact"/>
              <w:jc w:val="center"/>
            </w:pPr>
            <w:r>
              <w:t xml:space="preserve">Managing Director</w:t>
            </w:r>
          </w:p>
        </w:tc>
        <w:tc>
          <w:tcPr/>
          <w:p>
            <w:pPr>
              <w:pStyle w:val="Compact"/>
              <w:jc w:val="center"/>
            </w:pPr>
            <w:r>
              <w:t xml:space="preserve">00114193</w:t>
            </w:r>
          </w:p>
        </w:tc>
        <w:tc>
          <w:tcPr/>
          <w:p>
            <w:pPr>
              <w:pStyle w:val="Compact"/>
              <w:jc w:val="center"/>
            </w:pPr>
            <w:r>
              <w:t xml:space="preserve">12 Mary Johnson, NCL co-operative housing society, Panchvati, Pashan, Pune – 411 008, Maharashtra, India</w:t>
            </w:r>
          </w:p>
        </w:tc>
      </w:tr>
      <w:tr>
        <w:tc>
          <w:tcPr/>
          <w:p>
            <w:pPr>
              <w:pStyle w:val="Compact"/>
              <w:jc w:val="center"/>
            </w:pPr>
            <w:r>
              <w:t xml:space="preserve">Mary Smith</w:t>
            </w:r>
          </w:p>
        </w:tc>
        <w:tc>
          <w:tcPr/>
          <w:p>
            <w:pPr>
              <w:pStyle w:val="Compact"/>
              <w:jc w:val="center"/>
            </w:pPr>
            <w:r>
              <w:t xml:space="preserve">Joint Managing Director</w:t>
            </w:r>
          </w:p>
        </w:tc>
        <w:tc>
          <w:tcPr/>
          <w:p>
            <w:pPr>
              <w:pStyle w:val="Compact"/>
              <w:jc w:val="center"/>
            </w:pPr>
            <w:r>
              <w:t xml:space="preserve">00134926</w:t>
            </w:r>
          </w:p>
        </w:tc>
        <w:tc>
          <w:tcPr/>
          <w:p>
            <w:pPr>
              <w:pStyle w:val="Compact"/>
              <w:jc w:val="center"/>
            </w:pPr>
            <w:r>
              <w:t xml:space="preserve">Pushpakamal Apartment, Flat – 1, S. no. 245/ 100 Elm Road, Lakeside, Maharashtra, India</w:t>
            </w:r>
          </w:p>
        </w:tc>
      </w:tr>
      <w:tr>
        <w:tc>
          <w:tcPr/>
          <w:p>
            <w:pPr>
              <w:pStyle w:val="Compact"/>
              <w:jc w:val="center"/>
            </w:pPr>
            <w:r>
              <w:t xml:space="preserve">Umbrella Ltd</w:t>
            </w:r>
          </w:p>
        </w:tc>
        <w:tc>
          <w:tcPr/>
          <w:p>
            <w:pPr>
              <w:pStyle w:val="Compact"/>
              <w:jc w:val="center"/>
            </w:pPr>
            <w:r>
              <w:t xml:space="preserve">Whole-time Director</w:t>
            </w:r>
          </w:p>
        </w:tc>
        <w:tc>
          <w:tcPr/>
          <w:p>
            <w:pPr>
              <w:pStyle w:val="Compact"/>
              <w:jc w:val="center"/>
            </w:pPr>
            <w:r>
              <w:t xml:space="preserve">03124510</w:t>
            </w:r>
          </w:p>
        </w:tc>
        <w:tc>
          <w:tcPr/>
          <w:p>
            <w:pPr>
              <w:pStyle w:val="Compact"/>
              <w:jc w:val="center"/>
            </w:pPr>
            <w:r>
              <w:t xml:space="preserve">S. no. 245/ 104, Pushpakamal, Deccan Gymkhana Society, lane no.100 Elm Road, Fairview Maharashtra, India</w:t>
            </w:r>
          </w:p>
        </w:tc>
      </w:tr>
      <w:tr>
        <w:tc>
          <w:tcPr/>
          <w:p>
            <w:pPr>
              <w:pStyle w:val="Compact"/>
              <w:jc w:val="center"/>
            </w:pPr>
            <w:r>
              <w:t xml:space="preserve">Initech LLC</w:t>
            </w:r>
          </w:p>
        </w:tc>
        <w:tc>
          <w:tcPr/>
          <w:p>
            <w:pPr>
              <w:pStyle w:val="Compact"/>
              <w:jc w:val="center"/>
            </w:pPr>
            <w:r>
              <w:t xml:space="preserve">Independent Director</w:t>
            </w:r>
          </w:p>
        </w:tc>
        <w:tc>
          <w:tcPr/>
          <w:p>
            <w:pPr>
              <w:pStyle w:val="Compact"/>
              <w:jc w:val="center"/>
            </w:pPr>
            <w:r>
              <w:t xml:space="preserve">00049801</w:t>
            </w:r>
          </w:p>
        </w:tc>
        <w:tc>
          <w:tcPr/>
          <w:p>
            <w:pPr>
              <w:pStyle w:val="Compact"/>
              <w:jc w:val="center"/>
            </w:pPr>
            <w:r>
              <w:t xml:space="preserve">Globex Inc, Senapati Bapat Road, behind Sahara Hotel, Shivajinagar, Mary Parker, Pune – 411 016, Maharashtra, India</w:t>
            </w:r>
          </w:p>
        </w:tc>
      </w:tr>
      <w:tr>
        <w:tc>
          <w:tcPr/>
          <w:p>
            <w:pPr>
              <w:pStyle w:val="Compact"/>
              <w:jc w:val="center"/>
            </w:pPr>
            <w:r>
              <w:t xml:space="preserve">Mary Doe</w:t>
            </w:r>
          </w:p>
        </w:tc>
        <w:tc>
          <w:tcPr/>
          <w:p>
            <w:pPr>
              <w:pStyle w:val="Compact"/>
              <w:jc w:val="center"/>
            </w:pPr>
            <w:r>
              <w:t xml:space="preserve">Independent Director</w:t>
            </w:r>
          </w:p>
        </w:tc>
        <w:tc>
          <w:tcPr/>
          <w:p>
            <w:pPr>
              <w:pStyle w:val="Compact"/>
              <w:jc w:val="center"/>
            </w:pPr>
            <w:r>
              <w:t xml:space="preserve">01217000</w:t>
            </w:r>
          </w:p>
        </w:tc>
        <w:tc>
          <w:tcPr/>
          <w:p>
            <w:pPr>
              <w:pStyle w:val="Compact"/>
              <w:jc w:val="center"/>
            </w:pPr>
            <w:r>
              <w:t xml:space="preserve">100 Elm Road, Rivertown, Maharashtra, India</w:t>
            </w:r>
          </w:p>
        </w:tc>
      </w:tr>
      <w:tr>
        <w:tc>
          <w:tcPr/>
          <w:p>
            <w:pPr>
              <w:pStyle w:val="Compact"/>
              <w:jc w:val="center"/>
            </w:pPr>
            <w:r>
              <w:t xml:space="preserve">Ram Peter Allen</w:t>
            </w:r>
          </w:p>
        </w:tc>
        <w:tc>
          <w:tcPr/>
          <w:p>
            <w:pPr>
              <w:pStyle w:val="Compact"/>
              <w:jc w:val="center"/>
            </w:pPr>
            <w:r>
              <w:t xml:space="preserve">Independent Director</w:t>
            </w:r>
          </w:p>
        </w:tc>
        <w:tc>
          <w:tcPr/>
          <w:p>
            <w:pPr>
              <w:pStyle w:val="Compact"/>
              <w:jc w:val="center"/>
            </w:pPr>
            <w:r>
              <w:t xml:space="preserve">10938958</w:t>
            </w:r>
          </w:p>
        </w:tc>
        <w:tc>
          <w:tcPr/>
          <w:p>
            <w:pPr>
              <w:pStyle w:val="Compact"/>
              <w:jc w:val="center"/>
            </w:pPr>
            <w:r>
              <w:t xml:space="preserve">A-100 Elm Road, Springfield, Madhya Pradesh, India</w:t>
            </w:r>
          </w:p>
        </w:tc>
      </w:tr>
      <w:tr>
        <w:tc>
          <w:tcPr/>
          <w:p>
            <w:pPr>
              <w:pStyle w:val="Compact"/>
              <w:jc w:val="center"/>
            </w:pPr>
            <w:r>
              <w:t xml:space="preserve">Indu Jacob</w:t>
            </w:r>
          </w:p>
        </w:tc>
        <w:tc>
          <w:tcPr/>
          <w:p>
            <w:pPr>
              <w:pStyle w:val="Compact"/>
              <w:jc w:val="center"/>
            </w:pPr>
            <w:r>
              <w:t xml:space="preserve">Independent Director</w:t>
            </w:r>
          </w:p>
        </w:tc>
        <w:tc>
          <w:tcPr/>
          <w:p>
            <w:pPr>
              <w:pStyle w:val="Compact"/>
              <w:jc w:val="center"/>
            </w:pPr>
            <w:r>
              <w:t xml:space="preserve">05293084</w:t>
            </w:r>
          </w:p>
        </w:tc>
        <w:tc>
          <w:tcPr/>
          <w:p>
            <w:pPr>
              <w:pStyle w:val="Compact"/>
              <w:jc w:val="center"/>
            </w:pPr>
            <w:r>
              <w:t xml:space="preserve">A29, Abhimanshree Society, Pashan Road, Pune – 411 008, Maharashtra, India</w:t>
            </w:r>
          </w:p>
        </w:tc>
      </w:tr>
    </w:tbl>
    <w:p>
      <w:pPr>
        <w:pStyle w:val="BodyText"/>
      </w:pPr>
      <w:r>
        <w:t xml:space="preserve">For brief profiles and further details of our Board of Directors, see</w:t>
      </w:r>
      <w:r>
        <w:t xml:space="preserve"> </w:t>
      </w:r>
      <w:r>
        <w:t xml:space="preserve">“</w:t>
      </w:r>
      <w:r>
        <w:t xml:space="preserve">Our Management – Board of Directors</w:t>
      </w:r>
      <w:r>
        <w:t xml:space="preserve">”</w:t>
      </w:r>
      <w:r>
        <w:t xml:space="preserve"> </w:t>
      </w:r>
      <w:r>
        <w:t xml:space="preserve">on page 250.</w:t>
      </w:r>
    </w:p>
    <w:p>
      <w:pPr>
        <w:pStyle w:val="BodyText"/>
      </w:pPr>
      <w:r>
        <w:t xml:space="preserve">Company Secretary and Compliance Officer</w:t>
      </w:r>
    </w:p>
    <w:p>
      <w:pPr>
        <w:pStyle w:val="BodyText"/>
      </w:pPr>
      <w:r>
        <w:t xml:space="preserve">Peter Young is our Company Secretary and Compliance Officer. His contact details are as set forth below: Gat No. 11/3, 11/4, 100 Oak Avenue, Millbrook</w:t>
      </w:r>
    </w:p>
    <w:p>
      <w:pPr>
        <w:pStyle w:val="BodyText"/>
      </w:pPr>
      <w:r>
        <w:t xml:space="preserve">Maharashtra, India</w:t>
      </w:r>
    </w:p>
    <w:p>
      <w:pPr>
        <w:pStyle w:val="BodyText"/>
      </w:pPr>
      <w:r>
        <w:t xml:space="preserve">Telephone: + 22782 48963</w:t>
      </w:r>
    </w:p>
    <w:p>
      <w:pPr>
        <w:pStyle w:val="BodyText"/>
      </w:pPr>
      <w:r>
        <w:t xml:space="preserve">E-mail:</w:t>
      </w:r>
      <w:r>
        <w:t xml:space="preserve"> </w:t>
      </w:r>
      <w:hyperlink r:id="rId39">
        <w:r>
          <w:rPr>
            <w:rStyle w:val="Hyperlink"/>
          </w:rPr>
          <w:t xml:space="preserve">peter.young@example.com</w:t>
        </w:r>
      </w:hyperlink>
    </w:p>
    <w:p>
      <w:pPr>
        <w:pStyle w:val="BodyText"/>
      </w:pPr>
      <w:r>
        <w:t xml:space="preserve">Investor grievances</w:t>
      </w:r>
    </w:p>
    <w:p>
      <w:pPr>
        <w:pStyle w:val="BodyText"/>
      </w:pPr>
      <w:r>
        <w:t xml:space="preserve">Bidders may contact the Company Secretary and Compliance Officer, Book Running Lead Managers or Registrar to the Offer in case of any pre-Offer or post-Offer related queries, grievances and for redressal of complaints including non-receipt of letters of Allotment, non-credit of Acme Corp in the respective beneficiary account, non-receipt of refund orders or non-receipt of funds by electronic mode, etc.</w:t>
      </w:r>
    </w:p>
    <w:p>
      <w:pPr>
        <w:pStyle w:val="BodyText"/>
      </w:pPr>
      <w:r>
        <w:t xml:space="preserve">All Offer-related grievances, other than that of Anchor Investors, may be addressed to the Registrar to the Offer with a copy to the relevant Designated Intermediary(ies) with whom the Bid cum Application Form was submitted, giving full details such as name of the sole or First Bidder, Bid cum Application Form number, Bidder’s DP ID, Client ID, Initech LLC, PAN, address of Bidder, number of Globex Inc applied for, ASBA Account number in which the amount equivalent to the Bid Amount was blocked or the UPI ID (for UPI Bidders who make the payment of Bid Amount through the UPI Mechanism), date of Bid cum Application Form and the name and address of the relevant Designated Intermediary(ies) where the Bid was submitted. Further, the Bidder shall enclose a copy of the Acknowledgment Slip or provide the application number received from the Designated Intermediary(ies) in addition to the documents or information mentioned hereinabove. All grievances relating to Bids submitted through Wonka Ltd may be addressed to the Stock Exchanges with a copy to the Registrar to the Offer. The Registrar to the Offer shall obtain the required information from the SCSBs for addressing any clarifications or grievances of ASBA Bidders.</w:t>
      </w:r>
    </w:p>
    <w:p>
      <w:pPr>
        <w:pStyle w:val="BodyText"/>
      </w:pPr>
      <w:r>
        <w:t xml:space="preserve">All Offer-related grievances of the Anchor Investors may be addressed to the Registrar to the Offer, giving full details such as the name of the sole or First Bidder, Anchor Investor Application Form number, Bidders’ DP ID, Client ID, PAN, date of the Anchor Investor Application Form, address of the Bidder, number of the Globex Inc applied for, Bid Amount paid on submission of the Anchor Investor Application Form and the name and address of the BRLMs where the Anchor Investor Application Form was submitted by the Anchor Investor.</w:t>
      </w:r>
    </w:p>
    <w:p>
      <w:pPr>
        <w:pStyle w:val="BodyText"/>
      </w:pPr>
      <w:r>
        <w:t xml:space="preserve">Book Running Lead Managers</w:t>
      </w:r>
    </w:p>
    <w:p>
      <w:pPr>
        <w:pStyle w:val="BodyText"/>
      </w:pPr>
      <w:r>
        <w:t xml:space="preserve">Nuvama Wealth Management Limited</w:t>
      </w:r>
    </w:p>
    <w:p>
      <w:pPr>
        <w:pStyle w:val="BodyText"/>
      </w:pPr>
      <w:r>
        <w:t xml:space="preserve">801-100 Oak Avenue, Lakeside Maharashtra, India</w:t>
      </w:r>
    </w:p>
    <w:p>
      <w:pPr>
        <w:pStyle w:val="BodyText"/>
      </w:pPr>
      <w:r>
        <w:t xml:space="preserve">Telephone: +91 43039 11718 Email:</w:t>
      </w:r>
      <w:r>
        <w:t xml:space="preserve"> </w:t>
      </w:r>
      <w:hyperlink r:id="rId21">
        <w:r>
          <w:rPr>
            <w:rStyle w:val="Hyperlink"/>
          </w:rPr>
          <w:t xml:space="preserve">peter.walker@example.com</w:t>
        </w:r>
      </w:hyperlink>
      <w:r>
        <w:t xml:space="preserve"> </w:t>
      </w:r>
      <w:r>
        <w:t xml:space="preserve">Website:</w:t>
      </w:r>
      <w:r>
        <w:t xml:space="preserve"> </w:t>
      </w:r>
      <w:hyperlink r:id="rId24">
        <w:r>
          <w:rPr>
            <w:rStyle w:val="Hyperlink"/>
          </w:rPr>
          <w:t xml:space="preserve">www.nuvama.com</w:t>
        </w:r>
      </w:hyperlink>
    </w:p>
    <w:p>
      <w:pPr>
        <w:pStyle w:val="BodyText"/>
      </w:pPr>
      <w:r>
        <w:t xml:space="preserve">Investor grievance E-mail:</w:t>
      </w:r>
      <w:r>
        <w:t xml:space="preserve"> </w:t>
      </w:r>
      <w:hyperlink r:id="rId25">
        <w:r>
          <w:rPr>
            <w:rStyle w:val="Hyperlink"/>
          </w:rPr>
          <w:t xml:space="preserve">peter.hall@example.com</w:t>
        </w:r>
      </w:hyperlink>
    </w:p>
    <w:p>
      <w:pPr>
        <w:pStyle w:val="BodyText"/>
      </w:pPr>
      <w:r>
        <w:t xml:space="preserve">Contact person: Lokesh Shah/ Soumavo Sarkar</w:t>
      </w:r>
    </w:p>
    <w:p>
      <w:pPr>
        <w:pStyle w:val="BodyText"/>
      </w:pPr>
      <w:r>
        <w:t xml:space="preserve">SEBI registration no.: INM000013004</w:t>
      </w:r>
    </w:p>
    <w:p>
      <w:pPr>
        <w:pStyle w:val="BodyText"/>
      </w:pPr>
      <w:r>
        <w:t xml:space="preserve">ICICI Securities Limited ICICI Venture House Appasaheb Marathe Marg Prabhadevi, Mumbai – 400 025 Maharashtra, India</w:t>
      </w:r>
    </w:p>
    <w:p>
      <w:pPr>
        <w:pStyle w:val="BodyText"/>
      </w:pPr>
      <w:r>
        <w:t xml:space="preserve">Telephone: +91 82814 89325 Email:</w:t>
      </w:r>
      <w:r>
        <w:t xml:space="preserve"> </w:t>
      </w:r>
      <w:hyperlink r:id="rId22">
        <w:r>
          <w:rPr>
            <w:rStyle w:val="Hyperlink"/>
          </w:rPr>
          <w:t xml:space="preserve">peter.smith@example.com</w:t>
        </w:r>
      </w:hyperlink>
      <w:r>
        <w:t xml:space="preserve"> </w:t>
      </w:r>
      <w:r>
        <w:t xml:space="preserve">Website:</w:t>
      </w:r>
      <w:r>
        <w:t xml:space="preserve"> </w:t>
      </w:r>
      <w:hyperlink r:id="rId26">
        <w:r>
          <w:rPr>
            <w:rStyle w:val="Hyperlink"/>
          </w:rPr>
          <w:t xml:space="preserve">www.icicisecurities.com</w:t>
        </w:r>
      </w:hyperlink>
      <w:r>
        <w:t xml:space="preserve"> </w:t>
      </w:r>
      <w:r>
        <w:t xml:space="preserve">Investor grievance E-mail:</w:t>
      </w:r>
      <w:r>
        <w:t xml:space="preserve"> </w:t>
      </w:r>
      <w:hyperlink r:id="rId27">
        <w:r>
          <w:rPr>
            <w:rStyle w:val="Hyperlink"/>
          </w:rPr>
          <w:t xml:space="preserve">peter.brown@example.com</w:t>
        </w:r>
      </w:hyperlink>
    </w:p>
    <w:p>
      <w:pPr>
        <w:pStyle w:val="BodyText"/>
      </w:pPr>
      <w:r>
        <w:t xml:space="preserve">Contact person: Kishan Rastogi/Abhijit Diwan</w:t>
      </w:r>
    </w:p>
    <w:p>
      <w:pPr>
        <w:pStyle w:val="BodyText"/>
      </w:pPr>
      <w:r>
        <w:t xml:space="preserve">SEBI registration no.: INM000011179</w:t>
      </w:r>
    </w:p>
    <w:p>
      <w:pPr>
        <w:pStyle w:val="BodyText"/>
      </w:pPr>
      <w:r>
        <w:t xml:space="preserve">Statement of inter-se allocation of responsibilities among the BRLMs</w:t>
      </w:r>
    </w:p>
    <w:p>
      <w:pPr>
        <w:pStyle w:val="BodyText"/>
      </w:pPr>
      <w:r>
        <w:t xml:space="preserve">The responsibilities and coordination by the BRLMs for various activities in the Offer are as follows:</w:t>
      </w:r>
    </w:p>
    <w:tbl>
      <w:tblPr>
        <w:tblStyle w:val="Table"/>
        <w:tblW w:type="pct" w:w="5000"/>
        <w:tblLook w:firstRow="0" w:lastRow="0" w:firstColumn="0" w:lastColumn="0" w:noHBand="0" w:noVBand="0" w:val="0000"/>
        <w:jc w:val="start"/>
      </w:tblPr>
      <w:tblGrid>
        <w:gridCol w:w="1980"/>
        <w:gridCol w:w="1980"/>
        <w:gridCol w:w="1980"/>
        <w:gridCol w:w="1980"/>
      </w:tblGrid>
      <w:tr>
        <w:tc>
          <w:tcPr/>
          <w:p>
            <w:pPr>
              <w:pStyle w:val="Compact"/>
              <w:jc w:val="center"/>
            </w:pPr>
            <w:r>
              <w:t xml:space="preserve">S. No.</w:t>
            </w:r>
          </w:p>
        </w:tc>
        <w:tc>
          <w:tcPr/>
          <w:p>
            <w:pPr>
              <w:pStyle w:val="Compact"/>
              <w:jc w:val="center"/>
            </w:pPr>
            <w:r>
              <w:t xml:space="preserve">Activities</w:t>
            </w:r>
          </w:p>
        </w:tc>
        <w:tc>
          <w:tcPr/>
          <w:p>
            <w:pPr>
              <w:pStyle w:val="Compact"/>
              <w:jc w:val="center"/>
            </w:pPr>
            <w:r>
              <w:t xml:space="preserve">Responsibility</w:t>
            </w:r>
          </w:p>
        </w:tc>
        <w:tc>
          <w:tcPr/>
          <w:p>
            <w:pPr>
              <w:pStyle w:val="Compact"/>
              <w:jc w:val="center"/>
            </w:pPr>
            <w:r>
              <w:t xml:space="preserve">Coordinator</w:t>
            </w:r>
          </w:p>
        </w:tc>
      </w:tr>
      <w:tr>
        <w:tc>
          <w:tcPr/>
          <w:p>
            <w:pPr>
              <w:pStyle w:val="Compact"/>
              <w:jc w:val="center"/>
            </w:pPr>
            <w:r>
              <w:t xml:space="preserve">1.</w:t>
            </w:r>
          </w:p>
        </w:tc>
        <w:tc>
          <w:tcPr/>
          <w:p>
            <w:pPr>
              <w:pStyle w:val="Compact"/>
              <w:jc w:val="center"/>
            </w:pPr>
            <w:r>
              <w:t xml:space="preserve">Due diligence of the Company including its operations/management/business plans/legal etc. Drafting and design of the Draft Red Herring Prospectus, Vandelay Industries, Prospectus, abridged prospectus and application form. The BRLMs shall ensure compliance with stipulated requirements and completion of prescribed formalities with the Stock Exchanges, RoC and SEBI including finalisation of RHP, Prospectus and RoC filing.Capital structuring with the relative components and formalities such as type of instruments, allocation between primary and secondary, etc.</w:t>
            </w:r>
          </w:p>
        </w:tc>
        <w:tc>
          <w:tcPr/>
          <w:p>
            <w:pPr>
              <w:pStyle w:val="Compact"/>
              <w:jc w:val="center"/>
            </w:pPr>
            <w:r>
              <w:t xml:space="preserve">BRLMs</w:t>
            </w:r>
          </w:p>
        </w:tc>
        <w:tc>
          <w:tcPr/>
          <w:p>
            <w:pPr>
              <w:pStyle w:val="Compact"/>
              <w:jc w:val="center"/>
            </w:pPr>
            <w:r>
              <w:t xml:space="preserve">Nuvama</w:t>
            </w:r>
          </w:p>
        </w:tc>
      </w:tr>
      <w:tr>
        <w:tc>
          <w:tcPr/>
          <w:p>
            <w:pPr>
              <w:pStyle w:val="Compact"/>
              <w:jc w:val="center"/>
            </w:pPr>
            <w:r>
              <w:t xml:space="preserve">2.</w:t>
            </w:r>
          </w:p>
        </w:tc>
        <w:tc>
          <w:tcPr/>
          <w:p>
            <w:pPr>
              <w:pStyle w:val="Compact"/>
              <w:jc w:val="center"/>
            </w:pPr>
            <w:r>
              <w:t xml:space="preserve">Drafting and approval of statutory advertisements</w:t>
            </w:r>
          </w:p>
        </w:tc>
        <w:tc>
          <w:tcPr/>
          <w:p>
            <w:pPr>
              <w:pStyle w:val="Compact"/>
              <w:jc w:val="center"/>
            </w:pPr>
            <w:r>
              <w:t xml:space="preserve">BRLMs</w:t>
            </w:r>
          </w:p>
        </w:tc>
        <w:tc>
          <w:tcPr/>
          <w:p>
            <w:pPr>
              <w:pStyle w:val="Compact"/>
              <w:jc w:val="center"/>
            </w:pPr>
            <w:r>
              <w:t xml:space="preserve">Nuvama</w:t>
            </w:r>
          </w:p>
        </w:tc>
      </w:tr>
    </w:tbl>
    <w:p/>
    <w:tbl>
      <w:tblPr>
        <w:tblStyle w:val="Table"/>
        <w:tblW w:type="pct" w:w="5000"/>
        <w:tblLook w:firstRow="0" w:lastRow="0" w:firstColumn="0" w:lastColumn="0" w:noHBand="0" w:noVBand="0" w:val="0000"/>
        <w:jc w:val="start"/>
      </w:tblPr>
      <w:tblGrid>
        <w:gridCol w:w="1980"/>
        <w:gridCol w:w="1980"/>
        <w:gridCol w:w="1980"/>
        <w:gridCol w:w="1980"/>
      </w:tblGrid>
      <w:tr>
        <w:tc>
          <w:tcPr/>
          <w:p>
            <w:pPr>
              <w:pStyle w:val="Compact"/>
              <w:jc w:val="center"/>
            </w:pPr>
            <w:r>
              <w:t xml:space="preserve">S. No.</w:t>
            </w:r>
          </w:p>
        </w:tc>
        <w:tc>
          <w:tcPr/>
          <w:p>
            <w:pPr>
              <w:pStyle w:val="Compact"/>
              <w:jc w:val="center"/>
            </w:pPr>
            <w:r>
              <w:t xml:space="preserve">Activities</w:t>
            </w:r>
          </w:p>
        </w:tc>
        <w:tc>
          <w:tcPr/>
          <w:p>
            <w:pPr>
              <w:pStyle w:val="Compact"/>
              <w:jc w:val="center"/>
            </w:pPr>
            <w:r>
              <w:t xml:space="preserve">Responsibility</w:t>
            </w:r>
          </w:p>
        </w:tc>
        <w:tc>
          <w:tcPr/>
          <w:p>
            <w:pPr>
              <w:pStyle w:val="Compact"/>
              <w:jc w:val="center"/>
            </w:pPr>
            <w:r>
              <w:t xml:space="preserve">Coordinator</w:t>
            </w:r>
          </w:p>
        </w:tc>
      </w:tr>
      <w:tr>
        <w:tc>
          <w:tcPr/>
          <w:p>
            <w:pPr>
              <w:pStyle w:val="Compact"/>
              <w:jc w:val="center"/>
            </w:pPr>
            <w:r>
              <w:t xml:space="preserve">3.</w:t>
            </w:r>
          </w:p>
        </w:tc>
        <w:tc>
          <w:tcPr/>
          <w:p>
            <w:pPr>
              <w:pStyle w:val="Compact"/>
              <w:jc w:val="center"/>
            </w:pPr>
            <w:r>
              <w:t xml:space="preserve">Drafting and approval of all publicity material other than statutory advertisement as mentioned above including corporate advertising, brochure, etc. and filing of mediacompliance report with SEBI</w:t>
            </w:r>
          </w:p>
        </w:tc>
        <w:tc>
          <w:tcPr/>
          <w:p>
            <w:pPr>
              <w:pStyle w:val="Compact"/>
              <w:jc w:val="center"/>
            </w:pPr>
            <w:r>
              <w:t xml:space="preserve">BRLMs</w:t>
            </w:r>
          </w:p>
        </w:tc>
        <w:tc>
          <w:tcPr/>
          <w:p>
            <w:pPr>
              <w:pStyle w:val="Compact"/>
              <w:jc w:val="center"/>
            </w:pPr>
            <w:r>
              <w:t xml:space="preserve">I-Sec</w:t>
            </w:r>
          </w:p>
        </w:tc>
      </w:tr>
      <w:tr>
        <w:tc>
          <w:tcPr/>
          <w:p>
            <w:pPr>
              <w:pStyle w:val="Compact"/>
              <w:jc w:val="center"/>
            </w:pPr>
            <w:r>
              <w:t xml:space="preserve">4.</w:t>
            </w:r>
          </w:p>
        </w:tc>
        <w:tc>
          <w:tcPr/>
          <w:p>
            <w:pPr>
              <w:pStyle w:val="Compact"/>
              <w:jc w:val="center"/>
            </w:pPr>
            <w:r>
              <w:t xml:space="preserve">Appointment of all other intermediaries (e.g., Registrar(s), Printer(s), Vandelay Industries, Banker(s) to the Issue and Soylent Corp to the Issue, Advertising agencyetc.) including coordinating all agreements to be entered with such parties</w:t>
            </w:r>
          </w:p>
        </w:tc>
        <w:tc>
          <w:tcPr/>
          <w:p>
            <w:pPr>
              <w:pStyle w:val="Compact"/>
              <w:jc w:val="center"/>
            </w:pPr>
            <w:r>
              <w:t xml:space="preserve">BRLMs</w:t>
            </w:r>
          </w:p>
        </w:tc>
        <w:tc>
          <w:tcPr/>
          <w:p>
            <w:pPr>
              <w:pStyle w:val="Compact"/>
              <w:jc w:val="center"/>
            </w:pPr>
            <w:r>
              <w:t xml:space="preserve">Nuvama</w:t>
            </w:r>
          </w:p>
        </w:tc>
      </w:tr>
      <w:tr>
        <w:tc>
          <w:tcPr/>
          <w:p>
            <w:pPr>
              <w:pStyle w:val="Compact"/>
              <w:jc w:val="center"/>
            </w:pPr>
            <w:r>
              <w:t xml:space="preserve">5.</w:t>
            </w:r>
          </w:p>
        </w:tc>
        <w:tc>
          <w:tcPr/>
          <w:p>
            <w:pPr>
              <w:pStyle w:val="Compact"/>
              <w:jc w:val="center"/>
            </w:pPr>
            <w:r>
              <w:t xml:space="preserve">Preparation of road show presentation and frequently asked questions</w:t>
            </w:r>
          </w:p>
        </w:tc>
        <w:tc>
          <w:tcPr/>
          <w:p>
            <w:pPr>
              <w:pStyle w:val="Compact"/>
              <w:jc w:val="center"/>
            </w:pPr>
            <w:r>
              <w:t xml:space="preserve">BRLMs</w:t>
            </w:r>
          </w:p>
        </w:tc>
        <w:tc>
          <w:tcPr/>
          <w:p>
            <w:pPr>
              <w:pStyle w:val="Compact"/>
              <w:jc w:val="center"/>
            </w:pPr>
            <w:r>
              <w:t xml:space="preserve">I-Sec</w:t>
            </w:r>
          </w:p>
        </w:tc>
      </w:tr>
      <w:tr>
        <w:tc>
          <w:tcPr/>
          <w:p>
            <w:pPr>
              <w:pStyle w:val="Compact"/>
              <w:jc w:val="center"/>
            </w:pPr>
            <w:r>
              <w:t xml:space="preserve">6.</w:t>
            </w:r>
          </w:p>
        </w:tc>
        <w:tc>
          <w:tcPr/>
          <w:p>
            <w:pPr>
              <w:pStyle w:val="Compact"/>
              <w:jc w:val="center"/>
            </w:pPr>
            <w:r>
              <w:t xml:space="preserve">International Institutional Marketing of the Issue, which will cover, inter alia:Marketing strategyFinalising the list and division of international investors for one-to-one meetings andFinalizing road show and investor meeting schedules</w:t>
            </w:r>
          </w:p>
        </w:tc>
        <w:tc>
          <w:tcPr/>
          <w:p>
            <w:pPr>
              <w:pStyle w:val="Compact"/>
              <w:jc w:val="center"/>
            </w:pPr>
            <w:r>
              <w:t xml:space="preserve">BRLMs</w:t>
            </w:r>
          </w:p>
        </w:tc>
        <w:tc>
          <w:tcPr/>
          <w:p>
            <w:pPr>
              <w:pStyle w:val="Compact"/>
              <w:jc w:val="center"/>
            </w:pPr>
            <w:r>
              <w:t xml:space="preserve">I-Sec</w:t>
            </w:r>
          </w:p>
        </w:tc>
      </w:tr>
      <w:tr>
        <w:tc>
          <w:tcPr/>
          <w:p>
            <w:pPr>
              <w:pStyle w:val="Compact"/>
              <w:jc w:val="center"/>
            </w:pPr>
            <w:r>
              <w:t xml:space="preserve">7.</w:t>
            </w:r>
          </w:p>
        </w:tc>
        <w:tc>
          <w:tcPr/>
          <w:p>
            <w:pPr>
              <w:pStyle w:val="Compact"/>
              <w:jc w:val="center"/>
            </w:pPr>
            <w:r>
              <w:t xml:space="preserve">Domestic Institutional Marketing of the Issue, which will cover, inter alia:Finalising the list and division of domestic investors for one-to-one meetingsFinalizing domestic road show schedules and investor meeting schedules</w:t>
            </w:r>
          </w:p>
        </w:tc>
        <w:tc>
          <w:tcPr/>
          <w:p>
            <w:pPr>
              <w:pStyle w:val="Compact"/>
              <w:jc w:val="center"/>
            </w:pPr>
            <w:r>
              <w:t xml:space="preserve">BRLMs</w:t>
            </w:r>
          </w:p>
        </w:tc>
        <w:tc>
          <w:tcPr/>
          <w:p>
            <w:pPr>
              <w:pStyle w:val="Compact"/>
              <w:jc w:val="center"/>
            </w:pPr>
            <w:r>
              <w:t xml:space="preserve">Nuvama</w:t>
            </w:r>
          </w:p>
        </w:tc>
      </w:tr>
      <w:tr>
        <w:tc>
          <w:tcPr/>
          <w:p>
            <w:pPr>
              <w:pStyle w:val="Compact"/>
              <w:jc w:val="center"/>
            </w:pPr>
            <w:r>
              <w:t xml:space="preserve">8.</w:t>
            </w:r>
          </w:p>
        </w:tc>
        <w:tc>
          <w:tcPr/>
          <w:p>
            <w:pPr>
              <w:pStyle w:val="Compact"/>
              <w:jc w:val="center"/>
            </w:pPr>
            <w:r>
              <w:t xml:space="preserve">Non-institutional marketing of the Issue, which will cover, inter alia,Finalising media, marketing and public relations strategy including list of frequently asked questions at non-institutional road shows; andFinalising centres for holding conferences for brokers, etc.;</w:t>
            </w:r>
          </w:p>
        </w:tc>
        <w:tc>
          <w:tcPr/>
          <w:p>
            <w:pPr>
              <w:pStyle w:val="Compact"/>
              <w:jc w:val="center"/>
            </w:pPr>
            <w:r>
              <w:t xml:space="preserve">BRLMs</w:t>
            </w:r>
          </w:p>
        </w:tc>
        <w:tc>
          <w:tcPr/>
          <w:p>
            <w:pPr>
              <w:pStyle w:val="Compact"/>
              <w:jc w:val="center"/>
            </w:pPr>
            <w:r>
              <w:t xml:space="preserve">Nuvama</w:t>
            </w:r>
          </w:p>
        </w:tc>
      </w:tr>
      <w:tr>
        <w:tc>
          <w:tcPr/>
          <w:p>
            <w:pPr>
              <w:pStyle w:val="Compact"/>
              <w:jc w:val="center"/>
            </w:pPr>
            <w:r>
              <w:t xml:space="preserve">9.</w:t>
            </w:r>
          </w:p>
        </w:tc>
        <w:tc>
          <w:tcPr/>
          <w:p>
            <w:pPr>
              <w:pStyle w:val="Compact"/>
              <w:jc w:val="center"/>
            </w:pPr>
            <w:r>
              <w:t xml:space="preserve">Retail Marketing of the Issue, which will cover, inter alia,Formulating marketing strategies, preparation of publicity budgetFinalizing Media and PR strategyFinalizing centres for holding conferences for brokers, etc.Finalizing collection centres; andFollow-up on distribution of publicity and Issue material including application form, prospectus and deciding on the quantum of the Issue material</w:t>
            </w:r>
          </w:p>
        </w:tc>
        <w:tc>
          <w:tcPr/>
          <w:p>
            <w:pPr>
              <w:pStyle w:val="Compact"/>
              <w:jc w:val="center"/>
            </w:pPr>
            <w:r>
              <w:t xml:space="preserve">BRLMs</w:t>
            </w:r>
          </w:p>
        </w:tc>
        <w:tc>
          <w:tcPr/>
          <w:p>
            <w:pPr>
              <w:pStyle w:val="Compact"/>
              <w:jc w:val="center"/>
            </w:pPr>
            <w:r>
              <w:t xml:space="preserve">I-Sec</w:t>
            </w:r>
          </w:p>
        </w:tc>
      </w:tr>
      <w:tr>
        <w:tc>
          <w:tcPr/>
          <w:p>
            <w:pPr>
              <w:pStyle w:val="Compact"/>
              <w:jc w:val="center"/>
            </w:pPr>
            <w:r>
              <w:t xml:space="preserve">10.</w:t>
            </w:r>
          </w:p>
        </w:tc>
        <w:tc>
          <w:tcPr/>
          <w:p>
            <w:pPr>
              <w:pStyle w:val="Compact"/>
              <w:jc w:val="center"/>
            </w:pPr>
            <w:r>
              <w:t xml:space="preserve">Coordination with Stock-Exchanges for book building software, bidding terminals, mock trading, anchor coordination, anchor CAN and intimation of anchor allocation</w:t>
            </w:r>
          </w:p>
        </w:tc>
        <w:tc>
          <w:tcPr/>
          <w:p>
            <w:pPr>
              <w:pStyle w:val="Compact"/>
              <w:jc w:val="center"/>
            </w:pPr>
            <w:r>
              <w:t xml:space="preserve">BRLMs</w:t>
            </w:r>
          </w:p>
        </w:tc>
        <w:tc>
          <w:tcPr/>
          <w:p>
            <w:pPr>
              <w:pStyle w:val="Compact"/>
              <w:jc w:val="center"/>
            </w:pPr>
            <w:r>
              <w:t xml:space="preserve">I-Sec</w:t>
            </w:r>
          </w:p>
        </w:tc>
      </w:tr>
      <w:tr>
        <w:tc>
          <w:tcPr/>
          <w:p>
            <w:pPr>
              <w:pStyle w:val="Compact"/>
              <w:jc w:val="center"/>
            </w:pPr>
            <w:r>
              <w:t xml:space="preserve">11.</w:t>
            </w:r>
          </w:p>
        </w:tc>
        <w:tc>
          <w:tcPr/>
          <w:p>
            <w:pPr>
              <w:pStyle w:val="Compact"/>
              <w:jc w:val="center"/>
            </w:pPr>
            <w:r>
              <w:t xml:space="preserve">Managing the book and finalization of pricing in consultation with the Company</w:t>
            </w:r>
          </w:p>
        </w:tc>
        <w:tc>
          <w:tcPr/>
          <w:p>
            <w:pPr>
              <w:pStyle w:val="Compact"/>
              <w:jc w:val="center"/>
            </w:pPr>
            <w:r>
              <w:t xml:space="preserve">BRLMs</w:t>
            </w:r>
          </w:p>
        </w:tc>
        <w:tc>
          <w:tcPr/>
          <w:p>
            <w:pPr>
              <w:pStyle w:val="Compact"/>
              <w:jc w:val="center"/>
            </w:pPr>
            <w:r>
              <w:t xml:space="preserve">I-Sec</w:t>
            </w:r>
          </w:p>
        </w:tc>
      </w:tr>
      <w:tr>
        <w:tc>
          <w:tcPr/>
          <w:p>
            <w:pPr>
              <w:pStyle w:val="Compact"/>
              <w:jc w:val="center"/>
            </w:pPr>
            <w:r>
              <w:t xml:space="preserve">12.</w:t>
            </w:r>
          </w:p>
        </w:tc>
        <w:tc>
          <w:tcPr/>
          <w:p>
            <w:pPr>
              <w:pStyle w:val="Compact"/>
              <w:jc w:val="center"/>
            </w:pPr>
            <w:r>
              <w:t xml:space="preserve">Post-Offer activities, which shall involve essential follow-up with Bankers to the Issue and SCSBs to get quick estimates of collection and advising Company about the closure of the Issue, based on correct figures, finalisation of the basis of allotment or weeding out of multiple applications, unblocking of application monies, listing of instruments, dispatch of certificates or demat credit and refunds, payment of applicable Hooli Inc on behalf of the Promoter Selling Shareholders and coordination with various agencies connected with the post-Offer activity such as Registrar to the Issue, Bankers to the Issue, Wayne Enterprises, SCSBs including responsibility for underwriting arrangements, as applicable.Coordinating with Stock Exchanges and SEBI for submission of all post-Issue reports including the initial and final post-Issue report to SEBI.</w:t>
            </w:r>
          </w:p>
        </w:tc>
        <w:tc>
          <w:tcPr/>
          <w:p>
            <w:pPr>
              <w:pStyle w:val="Compact"/>
              <w:jc w:val="center"/>
            </w:pPr>
            <w:r>
              <w:t xml:space="preserve">BRLMs</w:t>
            </w:r>
          </w:p>
        </w:tc>
        <w:tc>
          <w:tcPr/>
          <w:p>
            <w:pPr>
              <w:pStyle w:val="Compact"/>
              <w:jc w:val="center"/>
            </w:pPr>
            <w:r>
              <w:t xml:space="preserve">I-Sec</w:t>
            </w:r>
          </w:p>
        </w:tc>
      </w:tr>
    </w:tbl>
    <w:p>
      <w:pPr>
        <w:pStyle w:val="BodyText"/>
      </w:pPr>
      <w:r>
        <w:t xml:space="preserve">Syndicate Members</w:t>
      </w:r>
    </w:p>
    <w:p>
      <w:pPr>
        <w:pStyle w:val="BodyText"/>
      </w:pPr>
      <w:r>
        <w:t xml:space="preserve">Stark Industries</w:t>
      </w:r>
    </w:p>
    <w:p>
      <w:pPr>
        <w:pStyle w:val="BodyText"/>
      </w:pPr>
      <w:r>
        <w:t xml:space="preserve">801-100 Oak Avenue, Fairview</w:t>
      </w:r>
    </w:p>
    <w:p>
      <w:pPr>
        <w:pStyle w:val="BodyText"/>
      </w:pPr>
      <w:r>
        <w:t xml:space="preserve">Maharashtra, India</w:t>
      </w:r>
    </w:p>
    <w:p>
      <w:pPr>
        <w:pStyle w:val="BodyText"/>
      </w:pPr>
      <w:r>
        <w:t xml:space="preserve">Telephone: + 28809 57015</w:t>
      </w:r>
    </w:p>
    <w:p>
      <w:pPr>
        <w:pStyle w:val="BodyText"/>
      </w:pPr>
      <w:r>
        <w:t xml:space="preserve">Email:</w:t>
      </w:r>
      <w:r>
        <w:t xml:space="preserve"> </w:t>
      </w:r>
      <w:hyperlink r:id="rId21">
        <w:r>
          <w:rPr>
            <w:rStyle w:val="Hyperlink"/>
          </w:rPr>
          <w:t xml:space="preserve">peter.walker@example.com,</w:t>
        </w:r>
      </w:hyperlink>
      <w:r>
        <w:t xml:space="preserve"> </w:t>
      </w:r>
      <w:hyperlink r:id="rId40">
        <w:r>
          <w:rPr>
            <w:rStyle w:val="Hyperlink"/>
          </w:rPr>
          <w:t xml:space="preserve">peter.clark@example.com,</w:t>
        </w:r>
      </w:hyperlink>
      <w:r>
        <w:t xml:space="preserve"> </w:t>
      </w:r>
      <w:r>
        <w:t xml:space="preserve">and</w:t>
      </w:r>
      <w:r>
        <w:t xml:space="preserve"> </w:t>
      </w:r>
      <w:hyperlink r:id="rId41">
        <w:r>
          <w:rPr>
            <w:rStyle w:val="Hyperlink"/>
          </w:rPr>
          <w:t xml:space="preserve">peter.wilson@example.com</w:t>
        </w:r>
      </w:hyperlink>
    </w:p>
    <w:p>
      <w:pPr>
        <w:pStyle w:val="BodyText"/>
      </w:pPr>
      <w:r>
        <w:t xml:space="preserve">Website:</w:t>
      </w:r>
      <w:r>
        <w:t xml:space="preserve"> </w:t>
      </w:r>
      <w:hyperlink r:id="rId42">
        <w:r>
          <w:rPr>
            <w:rStyle w:val="Hyperlink"/>
          </w:rPr>
          <w:t xml:space="preserve">www.nuvama.com</w:t>
        </w:r>
      </w:hyperlink>
    </w:p>
    <w:p>
      <w:pPr>
        <w:pStyle w:val="BodyText"/>
      </w:pPr>
      <w:r>
        <w:t xml:space="preserve">Contact Person: Prakash Boricha</w:t>
      </w:r>
    </w:p>
    <w:p>
      <w:pPr>
        <w:pStyle w:val="BodyText"/>
      </w:pPr>
      <w:r>
        <w:t xml:space="preserve">SEBI Registration Number: INZ000166136</w:t>
      </w:r>
    </w:p>
    <w:p>
      <w:pPr>
        <w:pStyle w:val="BodyText"/>
      </w:pPr>
      <w:r>
        <w:t xml:space="preserve">ICICI Securities Limited ICICI Venture House Appasaheb Marathe Marg Prabhadevi, Mumbai – 400 025 Maharashtra, India</w:t>
      </w:r>
    </w:p>
    <w:p>
      <w:pPr>
        <w:pStyle w:val="BodyText"/>
      </w:pPr>
      <w:r>
        <w:t xml:space="preserve">Telephone: +91 82814 89325 Email:</w:t>
      </w:r>
      <w:r>
        <w:t xml:space="preserve"> </w:t>
      </w:r>
      <w:hyperlink r:id="rId22">
        <w:r>
          <w:rPr>
            <w:rStyle w:val="Hyperlink"/>
          </w:rPr>
          <w:t xml:space="preserve">peter.smith@example.com</w:t>
        </w:r>
      </w:hyperlink>
      <w:r>
        <w:t xml:space="preserve"> </w:t>
      </w:r>
      <w:r>
        <w:t xml:space="preserve">Website:</w:t>
      </w:r>
      <w:r>
        <w:t xml:space="preserve"> </w:t>
      </w:r>
      <w:hyperlink r:id="rId26">
        <w:r>
          <w:rPr>
            <w:rStyle w:val="Hyperlink"/>
          </w:rPr>
          <w:t xml:space="preserve">www.icicisecurities.com</w:t>
        </w:r>
      </w:hyperlink>
    </w:p>
    <w:p>
      <w:pPr>
        <w:pStyle w:val="BodyText"/>
      </w:pPr>
      <w:r>
        <w:t xml:space="preserve">Investor grievance E-mail:</w:t>
      </w:r>
      <w:r>
        <w:t xml:space="preserve"> </w:t>
      </w:r>
      <w:hyperlink r:id="rId27">
        <w:r>
          <w:rPr>
            <w:rStyle w:val="Hyperlink"/>
          </w:rPr>
          <w:t xml:space="preserve">peter.brown@example.com</w:t>
        </w:r>
      </w:hyperlink>
    </w:p>
    <w:p>
      <w:pPr>
        <w:pStyle w:val="BodyText"/>
      </w:pPr>
      <w:r>
        <w:t xml:space="preserve">Contact person: Kishan Rastogi/Abhijit Diwan</w:t>
      </w:r>
    </w:p>
    <w:p>
      <w:pPr>
        <w:pStyle w:val="BodyText"/>
      </w:pPr>
      <w:r>
        <w:t xml:space="preserve">SEBI registration no.: INM000011179</w:t>
      </w:r>
    </w:p>
    <w:p>
      <w:pPr>
        <w:pStyle w:val="BodyText"/>
      </w:pPr>
      <w:r>
        <w:t xml:space="preserve">Legal Counsel to our Company as to Indian Law Trilegal</w:t>
      </w:r>
    </w:p>
    <w:p>
      <w:pPr>
        <w:pStyle w:val="BodyText"/>
      </w:pPr>
      <w:r>
        <w:t xml:space="preserve">One World Centre</w:t>
      </w:r>
    </w:p>
    <w:p>
      <w:pPr>
        <w:pStyle w:val="BodyText"/>
      </w:pPr>
      <w:r>
        <w:t xml:space="preserve">10th Floor, Tower 2A &amp; 2B</w:t>
      </w:r>
    </w:p>
    <w:p>
      <w:pPr>
        <w:pStyle w:val="BodyText"/>
      </w:pPr>
      <w:r>
        <w:t xml:space="preserve">Senapati Peter Lee, Umbrella Ltd (West) Mumbai – 400 013</w:t>
      </w:r>
    </w:p>
    <w:p>
      <w:pPr>
        <w:pStyle w:val="BodyText"/>
      </w:pPr>
      <w:r>
        <w:t xml:space="preserve">Maharashtra, India</w:t>
      </w:r>
    </w:p>
    <w:p>
      <w:pPr>
        <w:pStyle w:val="BodyText"/>
      </w:pPr>
      <w:r>
        <w:t xml:space="preserve">Email:</w:t>
      </w:r>
      <w:r>
        <w:t xml:space="preserve"> </w:t>
      </w:r>
      <w:hyperlink r:id="rId43">
        <w:r>
          <w:rPr>
            <w:rStyle w:val="Hyperlink"/>
          </w:rPr>
          <w:t xml:space="preserve">peter.johnson@example.com</w:t>
        </w:r>
      </w:hyperlink>
    </w:p>
    <w:p>
      <w:pPr>
        <w:pStyle w:val="BodyText"/>
      </w:pPr>
      <w:r>
        <w:t xml:space="preserve">Telephone: +91 84514 62704</w:t>
      </w:r>
    </w:p>
    <w:p>
      <w:pPr>
        <w:pStyle w:val="BodyText"/>
      </w:pPr>
      <w:r>
        <w:t xml:space="preserve">Registrar to Initech LLC (Formerly Link Intime India Private Limited) C-101, Embassy 247</w:t>
      </w:r>
    </w:p>
    <w:p>
      <w:pPr>
        <w:pStyle w:val="BodyText"/>
      </w:pPr>
      <w:r>
        <w:t xml:space="preserve">1st Floor, L B S Marg, Vikhroli (West) Mumbai 400083, (Maharashtra), India Telephone: +91 81081 14949</w:t>
      </w:r>
    </w:p>
    <w:p>
      <w:pPr>
        <w:pStyle w:val="BodyText"/>
      </w:pPr>
      <w:r>
        <w:t xml:space="preserve">E-mail:</w:t>
      </w:r>
      <w:r>
        <w:t xml:space="preserve"> </w:t>
      </w:r>
      <w:hyperlink r:id="rId22">
        <w:r>
          <w:rPr>
            <w:rStyle w:val="Hyperlink"/>
          </w:rPr>
          <w:t xml:space="preserve">peter.parker@example.com</w:t>
        </w:r>
      </w:hyperlink>
    </w:p>
    <w:p>
      <w:pPr>
        <w:pStyle w:val="BodyText"/>
      </w:pPr>
      <w:r>
        <w:t xml:space="preserve">Investor grievance E-mail:</w:t>
      </w:r>
      <w:r>
        <w:t xml:space="preserve"> </w:t>
      </w:r>
      <w:hyperlink r:id="rId28">
        <w:r>
          <w:rPr>
            <w:rStyle w:val="Hyperlink"/>
          </w:rPr>
          <w:t xml:space="preserve">peter.parker@example.com</w:t>
        </w:r>
      </w:hyperlink>
    </w:p>
    <w:p>
      <w:pPr>
        <w:pStyle w:val="BodyText"/>
      </w:pPr>
      <w:r>
        <w:t xml:space="preserve">Website:</w:t>
      </w:r>
      <w:r>
        <w:t xml:space="preserve"> </w:t>
      </w:r>
      <w:hyperlink r:id="rId29">
        <w:r>
          <w:rPr>
            <w:rStyle w:val="Hyperlink"/>
          </w:rPr>
          <w:t xml:space="preserve">www.in.mpms.mufg.com</w:t>
        </w:r>
      </w:hyperlink>
      <w:r>
        <w:t xml:space="preserve"> </w:t>
      </w:r>
      <w:r>
        <w:t xml:space="preserve">Contact Person: Peter Doe SEBI Registration No.: INR000004058</w:t>
      </w:r>
    </w:p>
    <w:p>
      <w:pPr>
        <w:pStyle w:val="BodyText"/>
      </w:pPr>
      <w:r>
        <w:t xml:space="preserve">URL of SEBI website:</w:t>
      </w:r>
      <w:r>
        <w:t xml:space="preserve"> </w:t>
      </w:r>
      <w:hyperlink r:id="rId44">
        <w:r>
          <w:rPr>
            <w:rStyle w:val="Hyperlink"/>
          </w:rPr>
          <w:t xml:space="preserve">www.sebi.gov.in/sebiweb/other/OtherAction.do?doRecognisedFpi=yes&amp;intmId=10</w:t>
        </w:r>
      </w:hyperlink>
    </w:p>
    <w:p>
      <w:pPr>
        <w:pStyle w:val="BodyText"/>
      </w:pPr>
      <w:r>
        <w:t xml:space="preserve">CIN: U67190MH1999PTC118368</w:t>
      </w:r>
    </w:p>
    <w:p>
      <w:pPr>
        <w:pStyle w:val="BodyText"/>
      </w:pPr>
      <w:r>
        <w:t xml:space="preserve">Bankers to Globex Inc, FIG-OPS Department – Lodha I Think Techno Campus, O-3 Level</w:t>
      </w:r>
    </w:p>
    <w:p>
      <w:pPr>
        <w:pStyle w:val="BodyText"/>
      </w:pPr>
      <w:r>
        <w:t xml:space="preserve">Next to Kanjurmarg Railway Station, Kanjurmarg (East) Mumbai – 400042, Maharashtra, India</w:t>
      </w:r>
    </w:p>
    <w:p>
      <w:pPr>
        <w:pStyle w:val="BodyText"/>
      </w:pPr>
      <w:r>
        <w:t xml:space="preserve">Telephone: +91 28710 12269, +91 38849 69653 and +91 39537 67242</w:t>
      </w:r>
    </w:p>
    <w:p>
      <w:pPr>
        <w:pStyle w:val="BodyText"/>
      </w:pPr>
      <w:r>
        <w:t xml:space="preserve">Email:</w:t>
      </w:r>
      <w:r>
        <w:t xml:space="preserve"> </w:t>
      </w:r>
      <w:hyperlink r:id="rId45">
        <w:r>
          <w:rPr>
            <w:rStyle w:val="Hyperlink"/>
          </w:rPr>
          <w:t xml:space="preserve">jane.young@example.com,</w:t>
        </w:r>
      </w:hyperlink>
      <w:r>
        <w:t xml:space="preserve"> </w:t>
      </w:r>
      <w:hyperlink r:id="rId46">
        <w:r>
          <w:rPr>
            <w:rStyle w:val="Hyperlink"/>
          </w:rPr>
          <w:t xml:space="preserve">jane.hall@example.com</w:t>
        </w:r>
      </w:hyperlink>
      <w:r>
        <w:t xml:space="preserve"> </w:t>
      </w:r>
      <w:hyperlink r:id="rId47">
        <w:r>
          <w:rPr>
            <w:rStyle w:val="Hyperlink"/>
          </w:rPr>
          <w:t xml:space="preserve">jane.walker@example.com</w:t>
        </w:r>
      </w:hyperlink>
      <w:r>
        <w:t xml:space="preserve">,</w:t>
      </w:r>
      <w:r>
        <w:t xml:space="preserve"> </w:t>
      </w:r>
      <w:hyperlink r:id="rId48">
        <w:r>
          <w:rPr>
            <w:rStyle w:val="Hyperlink"/>
          </w:rPr>
          <w:t xml:space="preserve">jane.clark@example.com</w:t>
        </w:r>
      </w:hyperlink>
      <w:r>
        <w:t xml:space="preserve">, and</w:t>
      </w:r>
      <w:r>
        <w:t xml:space="preserve"> </w:t>
      </w:r>
      <w:hyperlink r:id="rId49">
        <w:r>
          <w:rPr>
            <w:rStyle w:val="Hyperlink"/>
          </w:rPr>
          <w:t xml:space="preserve">jane.wilson@example.com</w:t>
        </w:r>
      </w:hyperlink>
      <w:r>
        <w:t xml:space="preserve"> </w:t>
      </w:r>
      <w:r>
        <w:t xml:space="preserve">Website:</w:t>
      </w:r>
      <w:r>
        <w:t xml:space="preserve"> </w:t>
      </w:r>
      <w:hyperlink r:id="rId50">
        <w:r>
          <w:rPr>
            <w:rStyle w:val="Hyperlink"/>
          </w:rPr>
          <w:t xml:space="preserve">www.hdfcbank.com</w:t>
        </w:r>
      </w:hyperlink>
    </w:p>
    <w:p>
      <w:pPr>
        <w:pStyle w:val="BodyText"/>
      </w:pPr>
      <w:r>
        <w:t xml:space="preserve">Contact Person: Eric Bacha/ Sachin Gawade/ Pravin Teli/ Siddharth Jadhav/ Tushar Gavankar</w:t>
      </w:r>
    </w:p>
    <w:p>
      <w:pPr>
        <w:pStyle w:val="BodyText"/>
      </w:pPr>
      <w:r>
        <w:t xml:space="preserve">SEBI Registration No: INBI00000063</w:t>
      </w:r>
    </w:p>
    <w:p>
      <w:pPr>
        <w:pStyle w:val="BodyText"/>
      </w:pPr>
      <w:r>
        <w:t xml:space="preserve">CIN: L65920MH1994PLC080618</w:t>
      </w:r>
    </w:p>
    <w:p>
      <w:pPr>
        <w:pStyle w:val="BodyText"/>
      </w:pPr>
      <w:r>
        <w:t xml:space="preserve">Public Offer Account Bank</w:t>
      </w:r>
    </w:p>
    <w:p>
      <w:pPr>
        <w:pStyle w:val="BodyText"/>
      </w:pPr>
      <w:r>
        <w:t xml:space="preserve">ICICI Bank Limited</w:t>
      </w:r>
    </w:p>
    <w:p>
      <w:pPr>
        <w:pStyle w:val="BodyText"/>
      </w:pPr>
      <w:r>
        <w:t xml:space="preserve">Capital Market Division</w:t>
      </w:r>
    </w:p>
    <w:p>
      <w:pPr>
        <w:pStyle w:val="BodyText"/>
      </w:pPr>
      <w:r>
        <w:t xml:space="preserve">100 Oak Avenue, Rivertown Telephone: 16697 84801 Email:</w:t>
      </w:r>
      <w:r>
        <w:t xml:space="preserve"> </w:t>
      </w:r>
      <w:hyperlink r:id="rId51">
        <w:r>
          <w:rPr>
            <w:rStyle w:val="Hyperlink"/>
          </w:rPr>
          <w:t xml:space="preserve">jane.allen@example.com</w:t>
        </w:r>
      </w:hyperlink>
      <w:r>
        <w:t xml:space="preserve"> </w:t>
      </w:r>
      <w:r>
        <w:t xml:space="preserve">Website:</w:t>
      </w:r>
      <w:r>
        <w:t xml:space="preserve"> </w:t>
      </w:r>
      <w:hyperlink r:id="rId52">
        <w:r>
          <w:rPr>
            <w:rStyle w:val="Hyperlink"/>
          </w:rPr>
          <w:t xml:space="preserve">www.icicibank.com</w:t>
        </w:r>
      </w:hyperlink>
      <w:r>
        <w:t xml:space="preserve"> </w:t>
      </w:r>
      <w:r>
        <w:t xml:space="preserve">Contact Person: Acme Corp</w:t>
      </w:r>
    </w:p>
    <w:p>
      <w:pPr>
        <w:pStyle w:val="BodyText"/>
      </w:pPr>
      <w:r>
        <w:t xml:space="preserve">SEBI Registration No: INBI00000004</w:t>
      </w:r>
    </w:p>
    <w:p>
      <w:pPr>
        <w:pStyle w:val="BodyText"/>
      </w:pPr>
      <w:r>
        <w:t xml:space="preserve">CIN: L65190GJ1994PLC021012</w:t>
      </w:r>
    </w:p>
    <w:p>
      <w:pPr>
        <w:pStyle w:val="BodyText"/>
      </w:pPr>
      <w:r>
        <w:t xml:space="preserve">HDFC Bank Limited</w:t>
      </w:r>
    </w:p>
    <w:p>
      <w:pPr>
        <w:pStyle w:val="BodyText"/>
      </w:pPr>
      <w:r>
        <w:t xml:space="preserve">HDFC Bank Limited, FIG-OPS Department – Lodha I Think Techno Campus, O-3 Level</w:t>
      </w:r>
    </w:p>
    <w:p>
      <w:pPr>
        <w:pStyle w:val="BodyText"/>
      </w:pPr>
      <w:r>
        <w:t xml:space="preserve">Next to Kanjurmarg Railway Station, Kanjurmarg (East) Mumbai – 400042, Maharashtra, India</w:t>
      </w:r>
    </w:p>
    <w:p>
      <w:pPr>
        <w:pStyle w:val="BodyText"/>
      </w:pPr>
      <w:r>
        <w:t xml:space="preserve">Telephone: +91 28710 12269, +91 38849 69653 and +91 39537 67242</w:t>
      </w:r>
    </w:p>
    <w:p>
      <w:pPr>
        <w:pStyle w:val="BodyText"/>
      </w:pPr>
      <w:r>
        <w:t xml:space="preserve">Email:</w:t>
      </w:r>
      <w:r>
        <w:t xml:space="preserve"> </w:t>
      </w:r>
      <w:hyperlink r:id="rId45">
        <w:r>
          <w:rPr>
            <w:rStyle w:val="Hyperlink"/>
          </w:rPr>
          <w:t xml:space="preserve">jane.young@example.com,</w:t>
        </w:r>
      </w:hyperlink>
      <w:r>
        <w:t xml:space="preserve"> </w:t>
      </w:r>
      <w:hyperlink r:id="rId46">
        <w:r>
          <w:rPr>
            <w:rStyle w:val="Hyperlink"/>
          </w:rPr>
          <w:t xml:space="preserve">jane.hall@example.com</w:t>
        </w:r>
      </w:hyperlink>
      <w:r>
        <w:t xml:space="preserve"> </w:t>
      </w:r>
      <w:hyperlink r:id="rId47">
        <w:r>
          <w:rPr>
            <w:rStyle w:val="Hyperlink"/>
          </w:rPr>
          <w:t xml:space="preserve">jane.walker@example.com</w:t>
        </w:r>
      </w:hyperlink>
      <w:r>
        <w:t xml:space="preserve">,</w:t>
      </w:r>
      <w:r>
        <w:t xml:space="preserve"> </w:t>
      </w:r>
      <w:hyperlink r:id="rId48">
        <w:r>
          <w:rPr>
            <w:rStyle w:val="Hyperlink"/>
          </w:rPr>
          <w:t xml:space="preserve">jane.clark@example.com</w:t>
        </w:r>
      </w:hyperlink>
      <w:r>
        <w:t xml:space="preserve">, and</w:t>
      </w:r>
      <w:r>
        <w:t xml:space="preserve"> </w:t>
      </w:r>
      <w:hyperlink r:id="rId49">
        <w:r>
          <w:rPr>
            <w:rStyle w:val="Hyperlink"/>
          </w:rPr>
          <w:t xml:space="preserve">jane.wilson@example.com</w:t>
        </w:r>
      </w:hyperlink>
      <w:r>
        <w:t xml:space="preserve"> </w:t>
      </w:r>
      <w:r>
        <w:t xml:space="preserve">Website:</w:t>
      </w:r>
      <w:r>
        <w:t xml:space="preserve"> </w:t>
      </w:r>
      <w:hyperlink r:id="rId50">
        <w:r>
          <w:rPr>
            <w:rStyle w:val="Hyperlink"/>
          </w:rPr>
          <w:t xml:space="preserve">www.hdfcbank.com</w:t>
        </w:r>
      </w:hyperlink>
    </w:p>
    <w:p>
      <w:pPr>
        <w:pStyle w:val="BodyText"/>
      </w:pPr>
      <w:r>
        <w:t xml:space="preserve">Contact Person: Eric Bacha/ Sachin Gawade/ Pravin Teli/ Siddharth Jadhav/ Tushar Gavankar</w:t>
      </w:r>
    </w:p>
    <w:p>
      <w:pPr>
        <w:pStyle w:val="BodyText"/>
      </w:pPr>
      <w:r>
        <w:t xml:space="preserve">SEBI Registration No: INBI00000063</w:t>
      </w:r>
    </w:p>
    <w:p>
      <w:pPr>
        <w:pStyle w:val="BodyText"/>
      </w:pPr>
      <w:r>
        <w:t xml:space="preserve">CIN: L65920MH1994PLC080618</w:t>
      </w:r>
    </w:p>
    <w:p>
      <w:pPr>
        <w:pStyle w:val="BodyText"/>
      </w:pPr>
      <w:r>
        <w:t xml:space="preserve">Sponsor Banks</w:t>
      </w:r>
    </w:p>
    <w:p>
      <w:pPr>
        <w:pStyle w:val="BodyText"/>
      </w:pPr>
      <w:r>
        <w:t xml:space="preserve">ICICI Bank Limited</w:t>
      </w:r>
    </w:p>
    <w:p>
      <w:pPr>
        <w:pStyle w:val="BodyText"/>
      </w:pPr>
      <w:r>
        <w:t xml:space="preserve">Capital Market Division</w:t>
      </w:r>
    </w:p>
    <w:p>
      <w:pPr>
        <w:pStyle w:val="BodyText"/>
      </w:pPr>
      <w:r>
        <w:t xml:space="preserve">100 Oak Avenue, Rivertown Telephone: 16697 84801 Email:</w:t>
      </w:r>
      <w:r>
        <w:t xml:space="preserve"> </w:t>
      </w:r>
      <w:hyperlink r:id="rId51">
        <w:r>
          <w:rPr>
            <w:rStyle w:val="Hyperlink"/>
          </w:rPr>
          <w:t xml:space="preserve">jane.allen@example.com</w:t>
        </w:r>
      </w:hyperlink>
      <w:r>
        <w:t xml:space="preserve"> </w:t>
      </w:r>
      <w:r>
        <w:t xml:space="preserve">Website:</w:t>
      </w:r>
      <w:r>
        <w:t xml:space="preserve"> </w:t>
      </w:r>
      <w:hyperlink r:id="rId52">
        <w:r>
          <w:rPr>
            <w:rStyle w:val="Hyperlink"/>
          </w:rPr>
          <w:t xml:space="preserve">www.icicibank.com</w:t>
        </w:r>
      </w:hyperlink>
      <w:r>
        <w:t xml:space="preserve"> </w:t>
      </w:r>
      <w:r>
        <w:t xml:space="preserve">Contact Person: Acme Corp</w:t>
      </w:r>
    </w:p>
    <w:p>
      <w:pPr>
        <w:pStyle w:val="BodyText"/>
      </w:pPr>
      <w:r>
        <w:t xml:space="preserve">SEBI Registration No: INBI00000004</w:t>
      </w:r>
    </w:p>
    <w:p>
      <w:pPr>
        <w:pStyle w:val="BodyText"/>
      </w:pPr>
      <w:r>
        <w:t xml:space="preserve">CIN: L65190GJ1994PLC021012</w:t>
      </w:r>
    </w:p>
    <w:p>
      <w:pPr>
        <w:pStyle w:val="BodyText"/>
      </w:pPr>
      <w:r>
        <w:t xml:space="preserve">HDFC Bank Limited</w:t>
      </w:r>
    </w:p>
    <w:p>
      <w:pPr>
        <w:pStyle w:val="BodyText"/>
      </w:pPr>
      <w:r>
        <w:t xml:space="preserve">HDFC Bank Limited, FIG-OPS Department – Lodha I Think Techno Campus, O-3 Level</w:t>
      </w:r>
    </w:p>
    <w:p>
      <w:pPr>
        <w:pStyle w:val="BodyText"/>
      </w:pPr>
      <w:r>
        <w:t xml:space="preserve">Next to Kanjurmarg Railway Station, Kanjurmarg (East) Mumbai – 400042, Maharashtra, India</w:t>
      </w:r>
    </w:p>
    <w:p>
      <w:pPr>
        <w:pStyle w:val="BodyText"/>
      </w:pPr>
      <w:r>
        <w:t xml:space="preserve">Telephone: +91 28710 12269, +91 38849 69653 and +91 39537 67242</w:t>
      </w:r>
    </w:p>
    <w:p>
      <w:pPr>
        <w:pStyle w:val="BodyText"/>
      </w:pPr>
      <w:r>
        <w:t xml:space="preserve">Email:</w:t>
      </w:r>
      <w:r>
        <w:t xml:space="preserve"> </w:t>
      </w:r>
      <w:hyperlink r:id="rId45">
        <w:r>
          <w:rPr>
            <w:rStyle w:val="Hyperlink"/>
          </w:rPr>
          <w:t xml:space="preserve">jane.young@example.com,</w:t>
        </w:r>
      </w:hyperlink>
      <w:r>
        <w:t xml:space="preserve"> </w:t>
      </w:r>
      <w:hyperlink r:id="rId46">
        <w:r>
          <w:rPr>
            <w:rStyle w:val="Hyperlink"/>
          </w:rPr>
          <w:t xml:space="preserve">jane.hall@example.com</w:t>
        </w:r>
      </w:hyperlink>
      <w:r>
        <w:t xml:space="preserve"> </w:t>
      </w:r>
      <w:hyperlink r:id="rId47">
        <w:r>
          <w:rPr>
            <w:rStyle w:val="Hyperlink"/>
          </w:rPr>
          <w:t xml:space="preserve">jane.walker@example.com</w:t>
        </w:r>
      </w:hyperlink>
      <w:r>
        <w:t xml:space="preserve">,</w:t>
      </w:r>
      <w:r>
        <w:t xml:space="preserve"> </w:t>
      </w:r>
      <w:hyperlink r:id="rId48">
        <w:r>
          <w:rPr>
            <w:rStyle w:val="Hyperlink"/>
          </w:rPr>
          <w:t xml:space="preserve">jane.clark@example.com</w:t>
        </w:r>
      </w:hyperlink>
      <w:r>
        <w:t xml:space="preserve">, and</w:t>
      </w:r>
      <w:r>
        <w:t xml:space="preserve"> </w:t>
      </w:r>
      <w:hyperlink r:id="rId49">
        <w:r>
          <w:rPr>
            <w:rStyle w:val="Hyperlink"/>
          </w:rPr>
          <w:t xml:space="preserve">jane.wilson@example.com</w:t>
        </w:r>
      </w:hyperlink>
      <w:r>
        <w:t xml:space="preserve"> </w:t>
      </w:r>
      <w:r>
        <w:t xml:space="preserve">Website:</w:t>
      </w:r>
      <w:r>
        <w:t xml:space="preserve"> </w:t>
      </w:r>
      <w:hyperlink r:id="rId50">
        <w:r>
          <w:rPr>
            <w:rStyle w:val="Hyperlink"/>
          </w:rPr>
          <w:t xml:space="preserve">www.hdfcbank.com</w:t>
        </w:r>
      </w:hyperlink>
    </w:p>
    <w:p>
      <w:pPr>
        <w:pStyle w:val="BodyText"/>
      </w:pPr>
      <w:r>
        <w:t xml:space="preserve">Contact Person: Eric Bacha/ Sachin Gawade/ Pravin Teli/ Siddharth Jadhav/ Tushar Gavankar</w:t>
      </w:r>
    </w:p>
    <w:p>
      <w:pPr>
        <w:pStyle w:val="BodyText"/>
      </w:pPr>
      <w:r>
        <w:t xml:space="preserve">SEBI Registration No: INBI00000063</w:t>
      </w:r>
    </w:p>
    <w:p>
      <w:pPr>
        <w:pStyle w:val="BodyText"/>
      </w:pPr>
      <w:r>
        <w:t xml:space="preserve">CIN: L65920MH1994PLC080618</w:t>
      </w:r>
    </w:p>
    <w:p>
      <w:pPr>
        <w:pStyle w:val="BodyText"/>
      </w:pPr>
      <w:r>
        <w:t xml:space="preserve">Designated Intermediaries</w:t>
      </w:r>
    </w:p>
    <w:p>
      <w:pPr>
        <w:pStyle w:val="BodyText"/>
      </w:pPr>
      <w:r>
        <w:t xml:space="preserve">Self-Certified Syndicate Banks</w:t>
      </w:r>
    </w:p>
    <w:p>
      <w:pPr>
        <w:pStyle w:val="BodyText"/>
      </w:pPr>
      <w:r>
        <w:t xml:space="preserve">The list of SCSBs notified by SEBI for the ASBA process is available at</w:t>
      </w:r>
      <w:r>
        <w:t xml:space="preserve"> </w:t>
      </w:r>
      <w:hyperlink r:id="rId33">
        <w:r>
          <w:rPr>
            <w:rStyle w:val="Hyperlink"/>
          </w:rPr>
          <w:t xml:space="preserve">http://www.sebi.gov.in/sebiweb/other/OtherAction.do?doRecognised=yes</w:t>
        </w:r>
      </w:hyperlink>
      <w:r>
        <w:t xml:space="preserve">, or at such other website as may be prescribed by SEBI from time to time. A list of the Designated SCSB Branches with which an ASBA Bidder (other than a RIB using the UPI Mechanism), not Bidding through Syndicate/Sub Syndicate or through a Registered Broker, RTA or CDP may submit the Bid cum Application Forms, is available at</w:t>
      </w:r>
      <w:r>
        <w:t xml:space="preserve"> </w:t>
      </w:r>
      <w:hyperlink r:id="rId53">
        <w:r>
          <w:rPr>
            <w:rStyle w:val="Hyperlink"/>
          </w:rPr>
          <w:t xml:space="preserve">https://www.sebi.gov.in/sebiweb/other/OtherAction.do?doRecognisedFpi=yes&amp;intmId=34</w:t>
        </w:r>
      </w:hyperlink>
      <w:r>
        <w:t xml:space="preserve">, or at such other websites as may be prescribed by SEBI from time to time.</w:t>
      </w:r>
    </w:p>
    <w:p>
      <w:pPr>
        <w:pStyle w:val="BodyText"/>
      </w:pPr>
      <w:r>
        <w:t xml:space="preserve">Eligible SCSBs and mobile applications enabled for UPI Mechanism</w:t>
      </w:r>
    </w:p>
    <w:p>
      <w:pPr>
        <w:pStyle w:val="BodyText"/>
      </w:pPr>
      <w:r>
        <w:t xml:space="preserve">In accordance with the SEBI ICDR Master Circular, UPI Bidders may only apply through the SCSBs and mobile applications whose names appear on the website of the SEBI which may be updated from time to time. A list of SCSBs and mobile applications, using the UPI handles and which are live for applying in public issues using UPI mechanism is available on the website of SEBI at</w:t>
      </w:r>
      <w:r>
        <w:t xml:space="preserve"> </w:t>
      </w:r>
      <w:hyperlink r:id="rId54">
        <w:r>
          <w:rPr>
            <w:rStyle w:val="Hyperlink"/>
          </w:rPr>
          <w:t xml:space="preserve">https://www.sebi.gov.in/sebiweb/other/OtherAction.do?doRecognisedFpi=yes&amp;intmId=40</w:t>
        </w:r>
      </w:hyperlink>
      <w:r>
        <w:t xml:space="preserve"> </w:t>
      </w:r>
      <w:r>
        <w:t xml:space="preserve">and</w:t>
      </w:r>
      <w:r>
        <w:t xml:space="preserve"> </w:t>
      </w:r>
      <w:hyperlink r:id="rId55">
        <w:r>
          <w:rPr>
            <w:rStyle w:val="Hyperlink"/>
          </w:rPr>
          <w:t xml:space="preserve">https://www.sebi.gov.in/sebiweb/other/OtherAction.do?doRecognisedFpi=yes&amp;intmId=43</w:t>
        </w:r>
      </w:hyperlink>
      <w:r>
        <w:t xml:space="preserve">, respectively, as updated from time to time and at such other websites as may be prescribed by SEBI from time to time.</w:t>
      </w:r>
    </w:p>
    <w:p>
      <w:pPr>
        <w:pStyle w:val="BodyText"/>
      </w:pPr>
      <w:r>
        <w:t xml:space="preserve">In relation to Bids (other than Bids by Anchor Investors and RIIs) submitted to a member of the Syndicate, the list of branches of the SCSBs at the Specified Locations named by the respective SCSBs to receive deposits of Bid cum Application Forms from the members of the Syndicate is available on the website of the SEBI at</w:t>
      </w:r>
      <w:r>
        <w:t xml:space="preserve"> </w:t>
      </w:r>
      <w:hyperlink r:id="rId56">
        <w:r>
          <w:rPr>
            <w:rStyle w:val="Hyperlink"/>
          </w:rPr>
          <w:t xml:space="preserve">www.sebi.gov.in/sebiweb/other/OtherAction.do?doRecognised=yes&amp;intmId=35</w:t>
        </w:r>
      </w:hyperlink>
      <w:r>
        <w:t xml:space="preserve">, as updated from time to time or any such other website as may be prescribed by SEBI from time to time. For more information on such branches collecting Bid cum Application Forms from the Syndicate at Specified Locations, see the website of the SEBI at</w:t>
      </w:r>
      <w:r>
        <w:t xml:space="preserve"> </w:t>
      </w:r>
      <w:hyperlink r:id="rId56">
        <w:r>
          <w:rPr>
            <w:rStyle w:val="Hyperlink"/>
          </w:rPr>
          <w:t xml:space="preserve">www.sebi.gov.in/sebiweb/other/OtherAction.do?doRecognised=yes&amp;intmId=35</w:t>
        </w:r>
      </w:hyperlink>
      <w:r>
        <w:t xml:space="preserve"> </w:t>
      </w:r>
      <w:r>
        <w:t xml:space="preserve">or any such other website as may be prescribed by SEBI from time to time.</w:t>
      </w:r>
    </w:p>
    <w:p>
      <w:pPr>
        <w:pStyle w:val="BodyText"/>
      </w:pPr>
      <w:r>
        <w:t xml:space="preserve">Registered Brokers</w:t>
      </w:r>
    </w:p>
    <w:p>
      <w:pPr>
        <w:pStyle w:val="BodyText"/>
      </w:pPr>
      <w:r>
        <w:t xml:space="preserve">Bidders can submit ASBA Forms in the Offer using the stockbroker network of the stock exchange, i.e., through the Registered Brokers at the Broker Centres. The list of the Registered Brokers eligible to accept ASBA Forms, including details such as postal address, telephone number and e-mail address, is provided on the websites of the Stock Exchanges at</w:t>
      </w:r>
      <w:r>
        <w:t xml:space="preserve"> </w:t>
      </w:r>
      <w:hyperlink r:id="rId31">
        <w:r>
          <w:rPr>
            <w:rStyle w:val="Hyperlink"/>
          </w:rPr>
          <w:t xml:space="preserve">www.bseindia.com</w:t>
        </w:r>
      </w:hyperlink>
      <w:r>
        <w:t xml:space="preserve"> </w:t>
      </w:r>
      <w:r>
        <w:t xml:space="preserve">and</w:t>
      </w:r>
      <w:r>
        <w:t xml:space="preserve"> </w:t>
      </w:r>
      <w:hyperlink r:id="rId32">
        <w:r>
          <w:rPr>
            <w:rStyle w:val="Hyperlink"/>
          </w:rPr>
          <w:t xml:space="preserve">www.nseindia.com</w:t>
        </w:r>
      </w:hyperlink>
      <w:r>
        <w:t xml:space="preserve">, as updated from time to time.</w:t>
      </w:r>
    </w:p>
    <w:p>
      <w:pPr>
        <w:pStyle w:val="BodyText"/>
      </w:pPr>
      <w:r>
        <w:t xml:space="preserve">Registrar and John Parker</w:t>
      </w:r>
    </w:p>
    <w:p>
      <w:pPr>
        <w:pStyle w:val="BodyText"/>
      </w:pPr>
      <w:r>
        <w:t xml:space="preserve">The list of the RTAs eligible to accept ASBA Forms at the Designated RTA Locations, including details such as address, telephone number and e-mail address, is provided on the websites of the Stock Exchanges at</w:t>
      </w:r>
      <w:r>
        <w:t xml:space="preserve"> </w:t>
      </w:r>
      <w:hyperlink r:id="rId57">
        <w:r>
          <w:rPr>
            <w:rStyle w:val="Hyperlink"/>
          </w:rPr>
          <w:t xml:space="preserve">www.bseindia.com/Static/Markets/PublicIssues/RtaDp.aspx?</w:t>
        </w:r>
      </w:hyperlink>
      <w:r>
        <w:t xml:space="preserve"> </w:t>
      </w:r>
      <w:r>
        <w:t xml:space="preserve">and</w:t>
      </w:r>
      <w:r>
        <w:t xml:space="preserve"> </w:t>
      </w:r>
      <w:hyperlink r:id="rId58">
        <w:r>
          <w:rPr>
            <w:rStyle w:val="Hyperlink"/>
          </w:rPr>
          <w:t xml:space="preserve">www.nseindia.com/products/content/equities/ipos/asba_procedures.htm</w:t>
        </w:r>
      </w:hyperlink>
      <w:r>
        <w:t xml:space="preserve">, respectively, as updated from time to time.</w:t>
      </w:r>
    </w:p>
    <w:p>
      <w:pPr>
        <w:pStyle w:val="BodyText"/>
      </w:pPr>
      <w:r>
        <w:t xml:space="preserve">Collecting Depository Participants</w:t>
      </w:r>
    </w:p>
    <w:p>
      <w:pPr>
        <w:pStyle w:val="BodyText"/>
      </w:pPr>
      <w:r>
        <w:t xml:space="preserve">The list of the CDPs eligible to accept ASBA Forms at the Designated CDP Locations, including details such as their name and contact details, is provided on the websites of the Stock Exchanges at</w:t>
      </w:r>
      <w:r>
        <w:t xml:space="preserve"> </w:t>
      </w:r>
      <w:hyperlink r:id="rId59">
        <w:r>
          <w:rPr>
            <w:rStyle w:val="Hyperlink"/>
          </w:rPr>
          <w:t xml:space="preserve">https://www.bseindia.com/Static/PublicIssues/RtaDp.aspx</w:t>
        </w:r>
      </w:hyperlink>
      <w:r>
        <w:t xml:space="preserve"> </w:t>
      </w:r>
      <w:r>
        <w:t xml:space="preserve">and</w:t>
      </w:r>
    </w:p>
    <w:p>
      <w:pPr>
        <w:pStyle w:val="BodyText"/>
      </w:pPr>
      <w:hyperlink r:id="rId60">
        <w:r>
          <w:rPr>
            <w:rStyle w:val="Hyperlink"/>
          </w:rPr>
          <w:t xml:space="preserve">https://www.nseindia.com/products/content/equities/ipos/asba_procedures.htm</w:t>
        </w:r>
      </w:hyperlink>
      <w:r>
        <w:t xml:space="preserve">, respectively, as updated from time to time.</w:t>
      </w:r>
    </w:p>
    <w:p>
      <w:pPr>
        <w:pStyle w:val="BodyText"/>
      </w:pPr>
      <w:r>
        <w:t xml:space="preserve">Experts</w:t>
      </w:r>
    </w:p>
    <w:p>
      <w:pPr>
        <w:pStyle w:val="BodyText"/>
      </w:pPr>
      <w:r>
        <w:t xml:space="preserve">Except as stated below, our Company has not obtained any expert opinions:</w:t>
      </w:r>
    </w:p>
    <w:p>
      <w:pPr>
        <w:pStyle w:val="BodyText"/>
      </w:pPr>
      <w:r>
        <w:t xml:space="preserve">Our Company has received the written consent dated November 27, 2025 from our Wonka Ltd, Kirtane &amp; Pandit, Wayne Enterprises, Chartered Accountants, to include their name as required under section 26 (5) of the Companies Act, 2013 read with SEBI ICDR Regulations, in this Red Herring Prospectus and as an</w:t>
      </w:r>
      <w:r>
        <w:t xml:space="preserve"> </w:t>
      </w:r>
      <w:r>
        <w:t xml:space="preserve">“</w:t>
      </w:r>
      <w:r>
        <w:t xml:space="preserve">expert</w:t>
      </w:r>
      <w:r>
        <w:t xml:space="preserve">”</w:t>
      </w:r>
      <w:r>
        <w:t xml:space="preserve"> </w:t>
      </w:r>
      <w:r>
        <w:t xml:space="preserve">as defined under section 2(38) of the Companies Act, 2013, to the extent and in their capacity as our Wonka Ltd, and in respect of their (i) examination report dated October 18, 2025 on the Restated Financial Statements; and (ii) the statement of special tax benefits available to the Company and its shareholders under the direct and indirect tax laws in India dated November 27, 2025, included in this Red Herring Prospectus and (iii) any other certificates as may be required for the purposes of the Offer, and such consent has not been withdrawn as on the date of this Red Herring Prospectus. However, the terms</w:t>
      </w:r>
      <w:r>
        <w:t xml:space="preserve"> </w:t>
      </w:r>
      <w:r>
        <w:t xml:space="preserve">“</w:t>
      </w:r>
      <w:r>
        <w:t xml:space="preserve">expert</w:t>
      </w:r>
      <w:r>
        <w:t xml:space="preserve">”</w:t>
      </w:r>
      <w:r>
        <w:t xml:space="preserve"> </w:t>
      </w:r>
      <w:r>
        <w:t xml:space="preserve">and</w:t>
      </w:r>
      <w:r>
        <w:t xml:space="preserve"> </w:t>
      </w:r>
      <w:r>
        <w:t xml:space="preserve">“</w:t>
      </w:r>
      <w:r>
        <w:t xml:space="preserve">consent</w:t>
      </w:r>
      <w:r>
        <w:t xml:space="preserve">”</w:t>
      </w:r>
      <w:r>
        <w:t xml:space="preserve"> </w:t>
      </w:r>
      <w:r>
        <w:t xml:space="preserve">do not represent an</w:t>
      </w:r>
      <w:r>
        <w:t xml:space="preserve"> </w:t>
      </w:r>
      <w:r>
        <w:t xml:space="preserve">“</w:t>
      </w:r>
      <w:r>
        <w:t xml:space="preserve">expert</w:t>
      </w:r>
      <w:r>
        <w:t xml:space="preserve">”</w:t>
      </w:r>
      <w:r>
        <w:t xml:space="preserve"> </w:t>
      </w:r>
      <w:r>
        <w:t xml:space="preserve">or</w:t>
      </w:r>
      <w:r>
        <w:t xml:space="preserve"> </w:t>
      </w:r>
      <w:r>
        <w:t xml:space="preserve">“</w:t>
      </w:r>
      <w:r>
        <w:t xml:space="preserve">consent</w:t>
      </w:r>
      <w:r>
        <w:t xml:space="preserve">”</w:t>
      </w:r>
      <w:r>
        <w:t xml:space="preserve"> </w:t>
      </w:r>
      <w:r>
        <w:t xml:space="preserve">within the meaning under the U.S. Securities Act.</w:t>
      </w:r>
    </w:p>
    <w:p>
      <w:pPr>
        <w:pStyle w:val="BodyText"/>
      </w:pPr>
      <w:r>
        <w:t xml:space="preserve">Our Company has received written consent dated November 27, 2025 from Vandelay Industries, to include their name as required under section 26 of the Companies Act, 2013 read with SEBI ICDR Regulations, in this Red Herring Prospectus, and as an</w:t>
      </w:r>
      <w:r>
        <w:t xml:space="preserve"> </w:t>
      </w:r>
      <w:r>
        <w:t xml:space="preserve">“</w:t>
      </w:r>
      <w:r>
        <w:t xml:space="preserve">expert</w:t>
      </w:r>
      <w:r>
        <w:t xml:space="preserve">”</w:t>
      </w:r>
      <w:r>
        <w:t xml:space="preserve"> </w:t>
      </w:r>
      <w:r>
        <w:t xml:space="preserve">as defined under section 2(38) of the Companies Act, 2013 to the extent and in their capacity as an independent chartered engineer in respect of information certified by them, as included in this Red Herring Prospectus; and such consent has not been withdrawn as on the date of this Red Herring Prospectus.</w:t>
      </w:r>
    </w:p>
    <w:p>
      <w:pPr>
        <w:pStyle w:val="BodyText"/>
      </w:pPr>
      <w:r>
        <w:t xml:space="preserve">Our Company has received written consent dated December 10, 2025 from Soylent Corp, independent practicing company secretary, to include their name as required under Section 26 of the Companies Act, 2013 in this Red Herring Prospectus and as an</w:t>
      </w:r>
      <w:r>
        <w:t xml:space="preserve"> </w:t>
      </w:r>
      <w:r>
        <w:t xml:space="preserve">‘</w:t>
      </w:r>
      <w:r>
        <w:t xml:space="preserve">expert</w:t>
      </w:r>
      <w:r>
        <w:t xml:space="preserve">’</w:t>
      </w:r>
      <w:r>
        <w:t xml:space="preserve"> </w:t>
      </w:r>
      <w:r>
        <w:t xml:space="preserve">as defined under Section 2(38) of Companies Act, 2013 in respect of the certificate issued in their capacity as a practicing company secretary to our Company, and such consent has not been withdrawn as on the date of this Red Herring Prospectus.</w:t>
      </w:r>
    </w:p>
    <w:p>
      <w:pPr>
        <w:pStyle w:val="BodyText"/>
      </w:pPr>
      <w:r>
        <w:t xml:space="preserve">Statutory Auditors to our Hooli Inc, Wayne Enterprises, Chartered Accountants</w:t>
      </w:r>
    </w:p>
    <w:p>
      <w:pPr>
        <w:pStyle w:val="BodyText"/>
      </w:pPr>
      <w:r>
        <w:t xml:space="preserve">5th Floor, Wing A, Jane Brown</w:t>
      </w:r>
    </w:p>
    <w:p>
      <w:pPr>
        <w:pStyle w:val="BodyText"/>
      </w:pPr>
      <w:r>
        <w:t xml:space="preserve">S. No. 127/1B/1, Plot A1 Opp Harshal Hall Kothrud</w:t>
      </w:r>
    </w:p>
    <w:p>
      <w:pPr>
        <w:pStyle w:val="BodyText"/>
      </w:pPr>
      <w:r>
        <w:t xml:space="preserve">Pune – 411 038</w:t>
      </w:r>
    </w:p>
    <w:p>
      <w:pPr>
        <w:pStyle w:val="BodyText"/>
      </w:pPr>
      <w:r>
        <w:t xml:space="preserve">Maharashtra, India</w:t>
      </w:r>
    </w:p>
    <w:p>
      <w:pPr>
        <w:pStyle w:val="BodyText"/>
      </w:pPr>
      <w:r>
        <w:t xml:space="preserve">E-mail:</w:t>
      </w:r>
      <w:r>
        <w:t xml:space="preserve"> </w:t>
      </w:r>
      <w:hyperlink r:id="rId61">
        <w:r>
          <w:rPr>
            <w:rStyle w:val="Hyperlink"/>
          </w:rPr>
          <w:t xml:space="preserve">jane.johnson@example.com</w:t>
        </w:r>
      </w:hyperlink>
    </w:p>
    <w:p>
      <w:pPr>
        <w:pStyle w:val="BodyText"/>
      </w:pPr>
      <w:r>
        <w:t xml:space="preserve">Telephone: + 83503 05641</w:t>
      </w:r>
    </w:p>
    <w:p>
      <w:pPr>
        <w:pStyle w:val="BodyText"/>
      </w:pPr>
      <w:r>
        <w:t xml:space="preserve">Firm registration number: 105215W/ W100057</w:t>
      </w:r>
    </w:p>
    <w:p>
      <w:pPr>
        <w:pStyle w:val="BodyText"/>
      </w:pPr>
      <w:r>
        <w:t xml:space="preserve">Peer review number: 014680</w:t>
      </w:r>
    </w:p>
    <w:p>
      <w:pPr>
        <w:pStyle w:val="BodyText"/>
      </w:pPr>
      <w:r>
        <w:t xml:space="preserve">Changes in Auditors</w:t>
      </w:r>
    </w:p>
    <w:p>
      <w:pPr>
        <w:pStyle w:val="BodyText"/>
      </w:pPr>
      <w:r>
        <w:t xml:space="preserve">Except as stated below, there has been no change in our statutory auditors in the three years preceding the date of this Red Herring Prospectus:</w:t>
      </w:r>
    </w:p>
    <w:tbl>
      <w:tblPr>
        <w:tblStyle w:val="Table"/>
        <w:tblW w:type="pct" w:w="5000"/>
        <w:tblLook w:firstRow="0" w:lastRow="0" w:firstColumn="0" w:lastColumn="0" w:noHBand="0" w:noVBand="0" w:val="0000"/>
        <w:jc w:val="start"/>
      </w:tblPr>
      <w:tblGrid>
        <w:gridCol w:w="2640"/>
        <w:gridCol w:w="2640"/>
        <w:gridCol w:w="2640"/>
      </w:tblGrid>
      <w:tr>
        <w:tc>
          <w:tcPr/>
          <w:p>
            <w:pPr>
              <w:pStyle w:val="Compact"/>
              <w:jc w:val="center"/>
            </w:pPr>
            <w:r>
              <w:t xml:space="preserve">Particulars</w:t>
            </w:r>
          </w:p>
        </w:tc>
        <w:tc>
          <w:tcPr/>
          <w:p>
            <w:pPr>
              <w:pStyle w:val="Compact"/>
              <w:jc w:val="center"/>
            </w:pPr>
            <w:r>
              <w:t xml:space="preserve">Date of change</w:t>
            </w:r>
          </w:p>
        </w:tc>
        <w:tc>
          <w:tcPr/>
          <w:p>
            <w:pPr>
              <w:pStyle w:val="Compact"/>
              <w:jc w:val="center"/>
            </w:pPr>
            <w:r>
              <w:t xml:space="preserve">Reasons for change</w:t>
            </w:r>
          </w:p>
        </w:tc>
      </w:tr>
      <w:tr>
        <w:tc>
          <w:tcPr/>
          <w:p>
            <w:pPr>
              <w:pStyle w:val="Compact"/>
              <w:jc w:val="center"/>
            </w:pPr>
            <w:r>
              <w:t xml:space="preserve">Kirtane &amp; Pandit, Wayne Enterprises, Chartered Accountants5th Floor, Jane Lee Harshal Hall, above HDFC Limited Karve Road, Pune – 411 038Maharashtra, IndiaE-mail:</w:t>
            </w:r>
            <w:r>
              <w:t xml:space="preserve"> </w:t>
            </w:r>
            <w:hyperlink r:id="rId61">
              <w:r>
                <w:rPr>
                  <w:rStyle w:val="Hyperlink"/>
                </w:rPr>
                <w:t xml:space="preserve">jane.johnson@example.com</w:t>
              </w:r>
            </w:hyperlink>
            <w:r>
              <w:t xml:space="preserve">Telephone: + 41928 32764Firm registration number: 105215W/ W100057Peer review number: 014680</w:t>
            </w:r>
          </w:p>
        </w:tc>
        <w:tc>
          <w:tcPr/>
          <w:p>
            <w:pPr>
              <w:pStyle w:val="Compact"/>
              <w:jc w:val="center"/>
            </w:pPr>
            <w:r>
              <w:t xml:space="preserve">September 30, 2024</w:t>
            </w:r>
          </w:p>
        </w:tc>
        <w:tc>
          <w:tcPr/>
          <w:p>
            <w:pPr>
              <w:pStyle w:val="Compact"/>
              <w:jc w:val="center"/>
            </w:pPr>
            <w:r>
              <w:t xml:space="preserve">Appointment as the Statutory Auditors of our Company</w:t>
            </w:r>
          </w:p>
        </w:tc>
      </w:tr>
      <w:tr>
        <w:tc>
          <w:tcPr/>
          <w:p>
            <w:pPr>
              <w:pStyle w:val="Compact"/>
              <w:jc w:val="center"/>
            </w:pPr>
            <w:r>
              <w:t xml:space="preserve">Hingne Tare &amp; Associates Flat No. 100 Oak Avenue, Springfield Maharashtra, IndiaE-mail:</w:t>
            </w:r>
            <w:r>
              <w:t xml:space="preserve"> </w:t>
            </w:r>
            <w:hyperlink r:id="rId62">
              <w:r>
                <w:rPr>
                  <w:rStyle w:val="Hyperlink"/>
                </w:rPr>
                <w:t xml:space="preserve">jane.smith@example.com</w:t>
              </w:r>
            </w:hyperlink>
            <w:r>
              <w:t xml:space="preserve">Firm registration number: 116417WPeer review number: N.A.</w:t>
            </w:r>
          </w:p>
        </w:tc>
        <w:tc>
          <w:tcPr/>
          <w:p>
            <w:pPr>
              <w:pStyle w:val="Compact"/>
              <w:jc w:val="center"/>
            </w:pPr>
            <w:r>
              <w:t xml:space="preserve">September 30, 2024</w:t>
            </w:r>
          </w:p>
        </w:tc>
        <w:tc>
          <w:tcPr/>
          <w:p>
            <w:pPr>
              <w:pStyle w:val="Compact"/>
              <w:jc w:val="center"/>
            </w:pPr>
            <w:r>
              <w:t xml:space="preserve">Expiry of term as the statutory auditors of our Company</w:t>
            </w:r>
          </w:p>
        </w:tc>
      </w:tr>
    </w:tbl>
    <w:p>
      <w:pPr>
        <w:pStyle w:val="BodyText"/>
      </w:pPr>
      <w:r>
        <w:t xml:space="preserve">Bankers to our Company</w:t>
      </w:r>
    </w:p>
    <w:p>
      <w:pPr>
        <w:pStyle w:val="BodyText"/>
      </w:pPr>
      <w:r>
        <w:t xml:space="preserve">Citibank N.A.</w:t>
      </w:r>
    </w:p>
    <w:p>
      <w:pPr>
        <w:pStyle w:val="BodyText"/>
      </w:pPr>
      <w:r>
        <w:t xml:space="preserve">100 Maple Street, Millbrook Maharashtra, India</w:t>
      </w:r>
    </w:p>
    <w:p>
      <w:pPr>
        <w:pStyle w:val="BodyText"/>
      </w:pPr>
      <w:r>
        <w:t xml:space="preserve">Telephone: +91 31647 52553</w:t>
      </w:r>
    </w:p>
    <w:p>
      <w:pPr>
        <w:pStyle w:val="BodyText"/>
      </w:pPr>
      <w:r>
        <w:t xml:space="preserve">Contact Person: Hitesh Ramani</w:t>
      </w:r>
    </w:p>
    <w:p>
      <w:pPr>
        <w:pStyle w:val="BodyText"/>
      </w:pPr>
      <w:r>
        <w:t xml:space="preserve">Website:</w:t>
      </w:r>
      <w:r>
        <w:t xml:space="preserve"> </w:t>
      </w:r>
      <w:hyperlink r:id="rId63">
        <w:r>
          <w:rPr>
            <w:rStyle w:val="Hyperlink"/>
          </w:rPr>
          <w:t xml:space="preserve">http://commercialbanking.citibank.com</w:t>
        </w:r>
      </w:hyperlink>
    </w:p>
    <w:p>
      <w:pPr>
        <w:pStyle w:val="BodyText"/>
      </w:pPr>
      <w:r>
        <w:t xml:space="preserve">Email:</w:t>
      </w:r>
      <w:r>
        <w:t xml:space="preserve"> </w:t>
      </w:r>
      <w:hyperlink r:id="rId64">
        <w:r>
          <w:rPr>
            <w:rStyle w:val="Hyperlink"/>
          </w:rPr>
          <w:t xml:space="preserve">jane.parker@example.com</w:t>
        </w:r>
      </w:hyperlink>
    </w:p>
    <w:p>
      <w:pPr>
        <w:pStyle w:val="BodyText"/>
      </w:pPr>
      <w:r>
        <w:t xml:space="preserve">Export-Import Bank of India</w:t>
      </w:r>
    </w:p>
    <w:p>
      <w:pPr>
        <w:pStyle w:val="BodyText"/>
      </w:pPr>
      <w:r>
        <w:t xml:space="preserve">No. 401, 401(A), 401(B)</w:t>
      </w:r>
    </w:p>
    <w:p>
      <w:pPr>
        <w:pStyle w:val="BodyText"/>
      </w:pPr>
      <w:r>
        <w:t xml:space="preserve">&amp; 402, 402(A), 402(B), 100 Maple Street, Lakeside Maharashtra, India</w:t>
      </w:r>
    </w:p>
    <w:p>
      <w:pPr>
        <w:pStyle w:val="BodyText"/>
      </w:pPr>
      <w:r>
        <w:t xml:space="preserve">Telephone: +91 49593 10341 Contact Person: Chitra Raste Website:</w:t>
      </w:r>
      <w:r>
        <w:t xml:space="preserve"> </w:t>
      </w:r>
      <w:hyperlink r:id="rId65">
        <w:r>
          <w:rPr>
            <w:rStyle w:val="Hyperlink"/>
          </w:rPr>
          <w:t xml:space="preserve">www.eximbankindia.in/</w:t>
        </w:r>
      </w:hyperlink>
      <w:r>
        <w:t xml:space="preserve"> </w:t>
      </w:r>
      <w:r>
        <w:t xml:space="preserve">Email:</w:t>
      </w:r>
      <w:r>
        <w:t xml:space="preserve"> </w:t>
      </w:r>
      <w:hyperlink r:id="rId66">
        <w:r>
          <w:rPr>
            <w:rStyle w:val="Hyperlink"/>
          </w:rPr>
          <w:t xml:space="preserve">jane.doe@example.com</w:t>
        </w:r>
      </w:hyperlink>
    </w:p>
    <w:p>
      <w:pPr>
        <w:pStyle w:val="BodyText"/>
      </w:pPr>
      <w:r>
        <w:t xml:space="preserve">IndusInd Bank Limited 100 Maple Street, Fairview</w:t>
      </w:r>
    </w:p>
    <w:p>
      <w:pPr>
        <w:pStyle w:val="BodyText"/>
      </w:pPr>
      <w:r>
        <w:t xml:space="preserve">Maharashtra, India</w:t>
      </w:r>
    </w:p>
    <w:p>
      <w:pPr>
        <w:pStyle w:val="BodyText"/>
      </w:pPr>
      <w:r>
        <w:t xml:space="preserve">Telephone: +91 59407 81618 Contact Person: Sharmila Joshi Website:</w:t>
      </w:r>
      <w:r>
        <w:t xml:space="preserve"> </w:t>
      </w:r>
      <w:hyperlink r:id="rId67">
        <w:r>
          <w:rPr>
            <w:rStyle w:val="Hyperlink"/>
          </w:rPr>
          <w:t xml:space="preserve">www.indusind.com/</w:t>
        </w:r>
      </w:hyperlink>
      <w:r>
        <w:t xml:space="preserve"> </w:t>
      </w:r>
      <w:r>
        <w:t xml:space="preserve">Email:</w:t>
      </w:r>
      <w:r>
        <w:t xml:space="preserve"> </w:t>
      </w:r>
      <w:hyperlink r:id="rId68">
        <w:r>
          <w:rPr>
            <w:rStyle w:val="Hyperlink"/>
          </w:rPr>
          <w:t xml:space="preserve">john.allen@example.com</w:t>
        </w:r>
      </w:hyperlink>
    </w:p>
    <w:p>
      <w:pPr>
        <w:pStyle w:val="BodyText"/>
      </w:pPr>
      <w:r>
        <w:t xml:space="preserve">ICICI Stark IndustriesICICI Bank, CBG, 100 Maple Street, Rivertown Maharashtra, India</w:t>
      </w:r>
    </w:p>
    <w:p>
      <w:pPr>
        <w:pStyle w:val="BodyText"/>
      </w:pPr>
      <w:r>
        <w:t xml:space="preserve">Telephone: + 54235 11615 Contact Person: Cherag Gyara Website:</w:t>
      </w:r>
      <w:r>
        <w:t xml:space="preserve"> </w:t>
      </w:r>
      <w:hyperlink r:id="rId52">
        <w:r>
          <w:rPr>
            <w:rStyle w:val="Hyperlink"/>
          </w:rPr>
          <w:t xml:space="preserve">www.icicibank.com</w:t>
        </w:r>
      </w:hyperlink>
      <w:r>
        <w:t xml:space="preserve"> </w:t>
      </w:r>
      <w:r>
        <w:t xml:space="preserve">Email: &lt;john.young@example.comUmbrella Ltd</w:t>
      </w:r>
    </w:p>
    <w:p>
      <w:pPr>
        <w:pStyle w:val="BodyText"/>
      </w:pPr>
      <w:r>
        <w:t xml:space="preserve">100 Maple Street, Springfield</w:t>
      </w:r>
    </w:p>
    <w:p>
      <w:pPr>
        <w:pStyle w:val="BodyText"/>
      </w:pPr>
      <w:r>
        <w:t xml:space="preserve">Maharashtra, India</w:t>
      </w:r>
    </w:p>
    <w:p>
      <w:pPr>
        <w:pStyle w:val="BodyText"/>
      </w:pPr>
      <w:r>
        <w:t xml:space="preserve">Telephone: +91 38637 94026 Contact Person: Manisha Shukla Website:</w:t>
      </w:r>
      <w:r>
        <w:t xml:space="preserve"> </w:t>
      </w:r>
      <w:hyperlink r:id="rId50">
        <w:r>
          <w:rPr>
            <w:rStyle w:val="Hyperlink"/>
          </w:rPr>
          <w:t xml:space="preserve">www.hdfcbank.com</w:t>
        </w:r>
      </w:hyperlink>
    </w:p>
    <w:p>
      <w:pPr>
        <w:pStyle w:val="BodyText"/>
      </w:pPr>
      <w:r>
        <w:t xml:space="preserve">Email:</w:t>
      </w:r>
      <w:r>
        <w:t xml:space="preserve"> </w:t>
      </w:r>
      <w:hyperlink r:id="rId69">
        <w:r>
          <w:rPr>
            <w:rStyle w:val="Hyperlink"/>
          </w:rPr>
          <w:t xml:space="preserve">john.hall@example.com</w:t>
        </w:r>
      </w:hyperlink>
    </w:p>
    <w:p>
      <w:pPr>
        <w:pStyle w:val="BodyText"/>
      </w:pPr>
      <w:r>
        <w:t xml:space="preserve">Initech LLC, Globex Inc</w:t>
      </w:r>
    </w:p>
    <w:p>
      <w:pPr>
        <w:pStyle w:val="BodyText"/>
      </w:pPr>
      <w:r>
        <w:t xml:space="preserve">John Walker, Mumbai-Pune Road, Wakdewadi</w:t>
      </w:r>
    </w:p>
    <w:p>
      <w:pPr>
        <w:pStyle w:val="BodyText"/>
      </w:pPr>
      <w:r>
        <w:t xml:space="preserve">Pune – 411 003</w:t>
      </w:r>
    </w:p>
    <w:p>
      <w:pPr>
        <w:pStyle w:val="BodyText"/>
      </w:pPr>
      <w:r>
        <w:t xml:space="preserve">Maharashtra, India</w:t>
      </w:r>
    </w:p>
    <w:p>
      <w:pPr>
        <w:pStyle w:val="BodyText"/>
      </w:pPr>
      <w:r>
        <w:t xml:space="preserve">Telephone: +91 60013 38908 Contact Person: Tushar Wakhele Website:</w:t>
      </w:r>
      <w:r>
        <w:t xml:space="preserve"> </w:t>
      </w:r>
      <w:hyperlink r:id="rId70">
        <w:r>
          <w:rPr>
            <w:rStyle w:val="Hyperlink"/>
          </w:rPr>
          <w:t xml:space="preserve">www.sbi.co.in</w:t>
        </w:r>
      </w:hyperlink>
    </w:p>
    <w:p>
      <w:pPr>
        <w:pStyle w:val="BodyText"/>
      </w:pPr>
      <w:r>
        <w:t xml:space="preserve">Email:</w:t>
      </w:r>
      <w:r>
        <w:t xml:space="preserve"> </w:t>
      </w:r>
      <w:hyperlink r:id="rId71">
        <w:r>
          <w:rPr>
            <w:rStyle w:val="Hyperlink"/>
          </w:rPr>
          <w:t xml:space="preserve">john.clark@example.com</w:t>
        </w:r>
      </w:hyperlink>
    </w:p>
    <w:p>
      <w:pPr>
        <w:pStyle w:val="BodyText"/>
      </w:pPr>
      <w:r>
        <w:t xml:space="preserve">Acme Corp, John Wilson. John Brown, Pune – 41l 005 Maharashtra, India</w:t>
      </w:r>
    </w:p>
    <w:p>
      <w:pPr>
        <w:pStyle w:val="BodyText"/>
      </w:pPr>
      <w:r>
        <w:t xml:space="preserve">Telephone: + 91 91586 40360</w:t>
      </w:r>
    </w:p>
    <w:p>
      <w:pPr>
        <w:pStyle w:val="BodyText"/>
      </w:pPr>
      <w:r>
        <w:t xml:space="preserve">Contact Person: Wonka LtdWebsite:</w:t>
      </w:r>
      <w:r>
        <w:t xml:space="preserve"> </w:t>
      </w:r>
      <w:hyperlink r:id="rId72">
        <w:r>
          <w:rPr>
            <w:rStyle w:val="Hyperlink"/>
          </w:rPr>
          <w:t xml:space="preserve">www.federalbank.co.in</w:t>
        </w:r>
      </w:hyperlink>
    </w:p>
    <w:p>
      <w:pPr>
        <w:pStyle w:val="BodyText"/>
      </w:pPr>
      <w:r>
        <w:t xml:space="preserve">Email:</w:t>
      </w:r>
      <w:r>
        <w:t xml:space="preserve"> </w:t>
      </w:r>
      <w:hyperlink r:id="rId73">
        <w:r>
          <w:rPr>
            <w:rStyle w:val="Hyperlink"/>
          </w:rPr>
          <w:t xml:space="preserve">john.lee@example.com</w:t>
        </w:r>
      </w:hyperlink>
    </w:p>
    <w:p>
      <w:pPr>
        <w:pStyle w:val="BodyText"/>
      </w:pPr>
      <w:r>
        <w:t xml:space="preserve">Bajaj Finance Limited</w:t>
      </w:r>
    </w:p>
    <w:p>
      <w:pPr>
        <w:pStyle w:val="BodyText"/>
      </w:pPr>
      <w:r>
        <w:t xml:space="preserve">The Capital</w:t>
      </w:r>
    </w:p>
    <w:p>
      <w:pPr>
        <w:pStyle w:val="BodyText"/>
      </w:pPr>
      <w:r>
        <w:t xml:space="preserve">Unit no. 1601, B- wing BKC, Mumbai Maharashtra India</w:t>
      </w:r>
    </w:p>
    <w:p>
      <w:pPr>
        <w:pStyle w:val="BodyText"/>
      </w:pPr>
      <w:r>
        <w:t xml:space="preserve">Telephone: +91 10433 21819 Contact Person: Anand Soni Website:</w:t>
      </w:r>
      <w:r>
        <w:t xml:space="preserve"> </w:t>
      </w:r>
      <w:hyperlink r:id="rId74">
        <w:r>
          <w:rPr>
            <w:rStyle w:val="Hyperlink"/>
          </w:rPr>
          <w:t xml:space="preserve">www.bajajfinance.com</w:t>
        </w:r>
      </w:hyperlink>
      <w:r>
        <w:t xml:space="preserve"> </w:t>
      </w:r>
      <w:r>
        <w:t xml:space="preserve">Email:</w:t>
      </w:r>
      <w:r>
        <w:t xml:space="preserve"> </w:t>
      </w:r>
      <w:hyperlink r:id="rId75">
        <w:r>
          <w:rPr>
            <w:rStyle w:val="Hyperlink"/>
          </w:rPr>
          <w:t xml:space="preserve">john.johnson@example.com</w:t>
        </w:r>
      </w:hyperlink>
    </w:p>
    <w:p>
      <w:pPr>
        <w:pStyle w:val="BodyText"/>
      </w:pPr>
      <w:r>
        <w:t xml:space="preserve">Grading of the Offer</w:t>
      </w:r>
    </w:p>
    <w:p>
      <w:pPr>
        <w:pStyle w:val="BodyText"/>
      </w:pPr>
      <w:r>
        <w:t xml:space="preserve">No credit rating agency registered with SEBI has been appointed for obtaining grading for the Offer.</w:t>
      </w:r>
    </w:p>
    <w:p>
      <w:pPr>
        <w:pStyle w:val="BodyText"/>
      </w:pPr>
      <w:r>
        <w:t xml:space="preserve">Appraising Entity</w:t>
      </w:r>
    </w:p>
    <w:p>
      <w:pPr>
        <w:pStyle w:val="BodyText"/>
      </w:pPr>
      <w:r>
        <w:t xml:space="preserve">No appraising entity has been appointed in relation to the Offer.</w:t>
      </w:r>
    </w:p>
    <w:p>
      <w:pPr>
        <w:pStyle w:val="BodyText"/>
      </w:pPr>
      <w:r>
        <w:t xml:space="preserve">Vandelay Industries</w:t>
      </w:r>
    </w:p>
    <w:p>
      <w:pPr>
        <w:pStyle w:val="BodyText"/>
      </w:pPr>
      <w:r>
        <w:t xml:space="preserve">As the size of the Fresh Issue exceeds ₹1,000.00 million, our Company has appointed a credit rating agency registered with SEBI, namely, Soylent Corp, as a monitoring agency to monitor the utilisation of the Net Proceeds, in accordance with Regulation 41 of the SEBI ICDR Regulations. For details in relation to the proposed utilisation of the Net Proceeds, see</w:t>
      </w:r>
      <w:r>
        <w:t xml:space="preserve"> </w:t>
      </w:r>
      <w:r>
        <w:t xml:space="preserve">“</w:t>
      </w:r>
      <w:r>
        <w:t xml:space="preserve">Objects of the Offer</w:t>
      </w:r>
      <w:r>
        <w:t xml:space="preserve">”</w:t>
      </w:r>
      <w:r>
        <w:t xml:space="preserve"> </w:t>
      </w:r>
      <w:r>
        <w:t xml:space="preserve">on page 106.</w:t>
      </w:r>
    </w:p>
    <w:p>
      <w:pPr>
        <w:pStyle w:val="BodyText"/>
      </w:pPr>
      <w:r>
        <w:t xml:space="preserve">Credit Rating</w:t>
      </w:r>
    </w:p>
    <w:p>
      <w:pPr>
        <w:pStyle w:val="BodyText"/>
      </w:pPr>
      <w:r>
        <w:t xml:space="preserve">As the Offer is of Globex Inc, credit rating is not required.</w:t>
      </w:r>
    </w:p>
    <w:p>
      <w:pPr>
        <w:pStyle w:val="BodyText"/>
      </w:pPr>
      <w:r>
        <w:t xml:space="preserve">Debenture Trustee</w:t>
      </w:r>
    </w:p>
    <w:p>
      <w:pPr>
        <w:pStyle w:val="BodyText"/>
      </w:pPr>
      <w:r>
        <w:t xml:space="preserve">As the Offer is of Globex Inc, the appointment of trustee is not required.</w:t>
      </w:r>
    </w:p>
    <w:p>
      <w:pPr>
        <w:pStyle w:val="BodyText"/>
      </w:pPr>
      <w:r>
        <w:t xml:space="preserve">Green Shoe Option</w:t>
      </w:r>
    </w:p>
    <w:p>
      <w:pPr>
        <w:pStyle w:val="BodyText"/>
      </w:pPr>
      <w:r>
        <w:t xml:space="preserve">No green shoe option is contemplated under the Offer.</w:t>
      </w:r>
    </w:p>
    <w:p>
      <w:pPr>
        <w:pStyle w:val="BodyText"/>
      </w:pPr>
      <w:r>
        <w:t xml:space="preserve">Filing of the Draft Red Herring Prospectus</w:t>
      </w:r>
    </w:p>
    <w:p>
      <w:pPr>
        <w:pStyle w:val="BodyText"/>
      </w:pPr>
      <w:r>
        <w:t xml:space="preserve">A copy of the Draft Red Herring Prospectus has been filed through SEBI’s online intermediary portal at</w:t>
      </w:r>
      <w:r>
        <w:t xml:space="preserve"> </w:t>
      </w:r>
      <w:hyperlink r:id="rId76">
        <w:r>
          <w:rPr>
            <w:rStyle w:val="Hyperlink"/>
          </w:rPr>
          <w:t xml:space="preserve">https://siportal.sebi.gov.in</w:t>
        </w:r>
      </w:hyperlink>
      <w:r>
        <w:t xml:space="preserve">, as specified in Regulation 25(8) of the SEBI ICDR Regulations and in accordance with SEBI ICDR Master Circular. It has also been filed at:</w:t>
      </w:r>
    </w:p>
    <w:p>
      <w:pPr>
        <w:pStyle w:val="BodyText"/>
      </w:pPr>
      <w:r>
        <w:t xml:space="preserve">Hooli Inc of India</w:t>
      </w:r>
    </w:p>
    <w:p>
      <w:pPr>
        <w:pStyle w:val="BodyText"/>
      </w:pPr>
      <w:r>
        <w:t xml:space="preserve">Corporation Finance Department Division of Issues and John Smith, Plot No. C4 A,</w:t>
      </w:r>
      <w:r>
        <w:t xml:space="preserve"> </w:t>
      </w:r>
      <w:r>
        <w:t xml:space="preserve">‘</w:t>
      </w:r>
      <w:r>
        <w:t xml:space="preserve">G</w:t>
      </w:r>
      <w:r>
        <w:t xml:space="preserve">’</w:t>
      </w:r>
      <w:r>
        <w:t xml:space="preserve"> </w:t>
      </w:r>
      <w:r>
        <w:t xml:space="preserve">Block</w:t>
      </w:r>
    </w:p>
    <w:p>
      <w:pPr>
        <w:pStyle w:val="BodyText"/>
      </w:pPr>
      <w:r>
        <w:t xml:space="preserve">Bandra Kurla Complex, Bandra (E) Mumbai – 400 051, Maharashtra, India</w:t>
      </w:r>
    </w:p>
    <w:p>
      <w:pPr>
        <w:pStyle w:val="BodyText"/>
      </w:pPr>
      <w:r>
        <w:t xml:space="preserve">Filing of this Red Herring Prospectus and Prospectus</w:t>
      </w:r>
    </w:p>
    <w:p>
      <w:pPr>
        <w:pStyle w:val="BodyText"/>
      </w:pPr>
      <w:r>
        <w:t xml:space="preserve">A copy of this Red Herring Prospectus, along with the material contracts and documents required to be filed under Section 32 of the Companies Act, have been filed with the RoC at its office and a copy of the Prospectus to be filed under Section 26 of the Companies Act, 2013, will be filed with the RoC at its office, and through the electronic portal.</w:t>
      </w:r>
    </w:p>
    <w:p>
      <w:pPr>
        <w:pStyle w:val="BodyText"/>
      </w:pPr>
      <w:r>
        <w:t xml:space="preserve">Book Building Process</w:t>
      </w:r>
    </w:p>
    <w:p>
      <w:pPr>
        <w:pStyle w:val="BodyText"/>
      </w:pPr>
      <w:r>
        <w:t xml:space="preserve">Book building, in the context of the Offer, refers to the process of collection of Bids from Bidders on the basis of this Red Herring Prospectus and the Bid cum Application Forms and the Revision Forms within the Price Band. The Price Band and the minimum Bid Lot will be decided by our Company, in consultation with the BRLMs, and will be advertised in all editions of Wayne Enterprises (a widely circulated English national daily newspaper), all editions of Jansatta (a widely circulated Hindi national daily newspaper) and Pune edition of Loksatta (a widely circulated Marathi newspaper, Marathi being the regional language of Maharashtra, where our Stark Industries is located), at least two Umbrella Ltd prior to the Bid/Offer Opening Date and shall be made available to the Stock Exchanges for the purposes of uploading on their respective websites. Pursuant to the Book Building Process, the Offer Price shall be determined by our Company, in consultation with the BRLMs, after the Bid/Offer Closing Date. For details, see</w:t>
      </w:r>
      <w:r>
        <w:t xml:space="preserve"> </w:t>
      </w:r>
      <w:r>
        <w:t xml:space="preserve">“</w:t>
      </w:r>
      <w:r>
        <w:t xml:space="preserve">Offer Procedure</w:t>
      </w:r>
      <w:r>
        <w:t xml:space="preserve">”</w:t>
      </w:r>
      <w:r>
        <w:t xml:space="preserve"> </w:t>
      </w:r>
      <w:r>
        <w:t xml:space="preserve">on page 420.</w:t>
      </w:r>
    </w:p>
    <w:p>
      <w:pPr>
        <w:pStyle w:val="BodyText"/>
      </w:pPr>
      <w:r>
        <w:t xml:space="preserve">All Bidders other than Anchor Investors shall only participate through the ASBA process by providing the details of their respective ASBA Account in which the corresponding Bid Amount will be blocked by the SCSBs or in the case of UPI Bidders, by using the UPI Mechanism. In addition to this, the Retail Individual Investors shall participate through the ASBA process by providing the details of their respective ASBA Account in which the corresponding Bid Amount will be blocked by the SCSBs or by using the UPI Mechanism. Non-Institutional Investors with an application size of up to ₹0.50 million shall use the UPI Mechanism and shall also provide their Initech LLC in the Bid cum Application Form submitted with Syndicate Members, Registered Brokers, Collecting Depository Participants and Registrar and John Parker. Anchor Investors are not permitted to participate in the Offer through the ASBA process.</w:t>
      </w:r>
    </w:p>
    <w:p>
      <w:pPr>
        <w:pStyle w:val="BodyText"/>
      </w:pPr>
      <w:r>
        <w:t xml:space="preserve">In accordance with the SEBI ICDR Regulations, QIBs and Non-Institutional Investors are not permitted to withdraw or lower the size of their Bids (in terms of the quantity of the Equity Shares or the Bid Amount) at any stage. Retail Individual Investors can revise their Bids during the Bid/ Offer Period and withdraw their Bids until the Bid/ Offer Closing Date. Further, Anchor Investors cannot withdraw their Bids after the Anchor Investor Bidding Date. Allocation to QIBs (other than Anchor Investors) will be on a proportionate basis while allocation to Anchor Investors will be on a discretionary basis, of which 40% shall be reserved in the following manner (i) 33.33% of the Anchor Investor Portion shall be reserved for domestic Mutual Funds; and</w:t>
      </w:r>
    </w:p>
    <w:p>
      <w:pPr>
        <w:numPr>
          <w:ilvl w:val="0"/>
          <w:numId w:val="1008"/>
        </w:numPr>
        <w:pStyle w:val="Compact"/>
      </w:pPr>
      <w:r>
        <w:t xml:space="preserve">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 in (ii) above may be allocated to domestic John Doe, in accordance with the SEBI ICDR Regulations.</w:t>
      </w:r>
    </w:p>
    <w:p>
      <w:pPr>
        <w:pStyle w:val="FirstParagraph"/>
      </w:pPr>
      <w:r>
        <w:t xml:space="preserve">For further details, see</w:t>
      </w:r>
      <w:r>
        <w:t xml:space="preserve"> </w:t>
      </w:r>
      <w:r>
        <w:t xml:space="preserve">“</w:t>
      </w:r>
      <w:r>
        <w:t xml:space="preserve">Terms of the Offer</w:t>
      </w:r>
      <w:r>
        <w:t xml:space="preserve">”</w:t>
      </w:r>
      <w:r>
        <w:t xml:space="preserve"> </w:t>
      </w:r>
      <w:r>
        <w:t xml:space="preserve">and</w:t>
      </w:r>
      <w:r>
        <w:t xml:space="preserve"> </w:t>
      </w:r>
      <w:r>
        <w:t xml:space="preserve">“</w:t>
      </w:r>
      <w:r>
        <w:t xml:space="preserve">Offer Procedure</w:t>
      </w:r>
      <w:r>
        <w:t xml:space="preserve">”</w:t>
      </w:r>
      <w:r>
        <w:t xml:space="preserve"> </w:t>
      </w:r>
      <w:r>
        <w:t xml:space="preserve">on pages 411 and 420, respectively.</w:t>
      </w:r>
    </w:p>
    <w:p>
      <w:pPr>
        <w:pStyle w:val="BodyText"/>
      </w:pPr>
      <w:r>
        <w:t xml:space="preserve">Our Company will comply with the SEBI ICDR Regulations and any other directions issued by SEBI in relation to this Offer. Each of the Promoter Selling Shareholders has, severally and not jointly, specifically confirmed that it will 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Text"/>
      </w:pPr>
      <w:r>
        <w:t xml:space="preserve">The Book Building Process under the SEBI ICDR Regulations and the Bidding process are subject to change from time to time, and the Bidders are advised to make their own judgment about investment through the aforesaid processes prior to submitting a Bid in the Offer.</w:t>
      </w:r>
    </w:p>
    <w:p>
      <w:pPr>
        <w:pStyle w:val="BodyText"/>
      </w:pPr>
      <w:r>
        <w:t xml:space="preserve">Bidders should note that the Offer is also subject to (i) filing of the Prospectus by our Company with the RoC; and (ii) our Company obtaining final listing and trading approvals from the Stock Exchanges, which our Company shall apply for after Allotment.</w:t>
      </w:r>
    </w:p>
    <w:p>
      <w:pPr>
        <w:pStyle w:val="BodyText"/>
      </w:pPr>
      <w:r>
        <w:t xml:space="preserve">For further details on the method and procedure for Bidding, see</w:t>
      </w:r>
      <w:r>
        <w:t xml:space="preserve"> </w:t>
      </w:r>
      <w:r>
        <w:t xml:space="preserve">“</w:t>
      </w:r>
      <w:r>
        <w:t xml:space="preserve">Offer Procedure</w:t>
      </w:r>
      <w:r>
        <w:t xml:space="preserve">”</w:t>
      </w:r>
      <w:r>
        <w:t xml:space="preserve"> </w:t>
      </w:r>
      <w:r>
        <w:t xml:space="preserve">and</w:t>
      </w:r>
      <w:r>
        <w:t xml:space="preserve"> </w:t>
      </w:r>
      <w:r>
        <w:t xml:space="preserve">“</w:t>
      </w:r>
      <w:r>
        <w:t xml:space="preserve">Offer Structure</w:t>
      </w:r>
      <w:r>
        <w:t xml:space="preserve">”</w:t>
      </w:r>
      <w:r>
        <w:t xml:space="preserve"> </w:t>
      </w:r>
      <w:r>
        <w:t xml:space="preserve">on pages 420 and 417, respectively.</w:t>
      </w:r>
    </w:p>
    <w:p>
      <w:pPr>
        <w:pStyle w:val="BodyText"/>
      </w:pPr>
      <w:r>
        <w:t xml:space="preserve">Underwriting Agreement</w:t>
      </w:r>
    </w:p>
    <w:p>
      <w:pPr>
        <w:pStyle w:val="BodyText"/>
      </w:pPr>
      <w:r>
        <w:t xml:space="preserve">After the determination of the Offer Price and allocation of Globex Inc but prior to the filing of the Prospectus with the RoC, our Company and the Promoter Selling Shareholders will enter into an Underwriting Agreement with the Underwriters for the Equity Shares proposed to be offered through the Offer. The extent of underwriting obligations and the Bids to be underwritten by each BRLM shall be as per the Underwriting Agreement. Pursuant to the terms of the Underwriting Agreement, the obligations of the Underwriters will be several and will be subject to certain conditions to closing, as specified therein.</w:t>
      </w:r>
    </w:p>
    <w:p>
      <w:pPr>
        <w:pStyle w:val="BodyText"/>
      </w:pPr>
      <w:r>
        <w:t xml:space="preserve">The Underwriting Agreement is dated [●]. The Underwriters have indicated their intention to underwrite the following number of Equity Shares:</w:t>
      </w:r>
    </w:p>
    <w:p>
      <w:pPr>
        <w:pStyle w:val="BodyText"/>
      </w:pPr>
      <w:r>
        <w:t xml:space="preserve">(The Underwriting Agreement has not been executed as on the date of this Red Herring Prospectus. This portion has been intentionally left blank and will be filled in before filing of the Prospectus with the RoC)</w:t>
      </w:r>
    </w:p>
    <w:tbl>
      <w:tblPr>
        <w:tblStyle w:val="Table"/>
        <w:tblW w:type="pct" w:w="5000"/>
        <w:tblLook w:firstRow="0" w:lastRow="0" w:firstColumn="0" w:lastColumn="0" w:noHBand="0" w:noVBand="0" w:val="0000"/>
        <w:jc w:val="start"/>
      </w:tblPr>
      <w:tblGrid>
        <w:gridCol w:w="2640"/>
        <w:gridCol w:w="2640"/>
        <w:gridCol w:w="2640"/>
      </w:tblGrid>
      <w:tr>
        <w:tc>
          <w:tcPr/>
          <w:p>
            <w:pPr>
              <w:pStyle w:val="Compact"/>
              <w:jc w:val="center"/>
            </w:pPr>
            <w:r>
              <w:t xml:space="preserve">Name, address, telephone and e-mail address of the Underwriters</w:t>
            </w:r>
          </w:p>
        </w:tc>
        <w:tc>
          <w:tcPr/>
          <w:p>
            <w:pPr>
              <w:pStyle w:val="Compact"/>
              <w:jc w:val="center"/>
            </w:pPr>
            <w:r>
              <w:t xml:space="preserve">Indicative Number of Equity Shares of face value of ₹5 each to be Underwritten</w:t>
            </w:r>
          </w:p>
        </w:tc>
        <w:tc>
          <w:tcPr/>
          <w:p>
            <w:pPr>
              <w:pStyle w:val="Compact"/>
              <w:jc w:val="center"/>
            </w:pPr>
            <w:r>
              <w:t xml:space="preserve">Amount Underwritten (₹ in million)</w:t>
            </w:r>
          </w:p>
        </w:tc>
      </w:tr>
      <w:tr>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t xml:space="preserve">The above-mentioned underwriting commitment is indicative and will be finalized after determination of the Offer Price and Basis of Allotment and will be subject to Regulation 40(3) of the SEBI ICDR Regulations.</w:t>
      </w:r>
    </w:p>
    <w:p>
      <w:pPr>
        <w:pStyle w:val="BodyText"/>
      </w:pPr>
      <w:r>
        <w:t xml:space="preserve">In the opinion of our Board of Directors (based on representations made to our Company by the Underwriters), the resources of the abovementioned Underwriters are sufficient to enable them to discharge their respective underwriting obligations in full. The Underwriters are registered with the SEBI under Section 12(1) of the SEBI Act or registered as brokers with the Stock Exchange(s). Our Board at its meeting held on [●], has accepted and entered into the Underwriting Agreement mentioned above on behalf of our Company.</w:t>
      </w:r>
    </w:p>
    <w:p>
      <w:pPr>
        <w:pStyle w:val="BodyText"/>
      </w:pPr>
      <w:r>
        <w:t xml:space="preserve">Allocation among the Underwriters may not necessarily be in proportion to their underwriting commitments set forth in the table above. Notwithstanding the above table, the Underwriters shall be severally responsible for ensuring payment with respect to Globex Inc allocated to Bidders procured by them.</w:t>
      </w:r>
    </w:p>
    <w:p>
      <w:pPr>
        <w:pStyle w:val="BodyText"/>
      </w:pPr>
      <w:r>
        <w:t xml:space="preserve">CAPITAL STRUCTURE</w:t>
      </w:r>
    </w:p>
    <w:p>
      <w:pPr>
        <w:pStyle w:val="BodyText"/>
      </w:pPr>
      <w:r>
        <w:t xml:space="preserve">The share capital of our Company, as on the date of this Red Herring Prospectus, is set forth below:</w:t>
      </w:r>
    </w:p>
    <w:p>
      <w:pPr>
        <w:pStyle w:val="BodyText"/>
      </w:pPr>
      <w:r>
        <w:t xml:space="preserve">(in ₹, except share data)</w:t>
      </w:r>
    </w:p>
    <w:tbl>
      <w:tblPr>
        <w:tblStyle w:val="Table"/>
        <w:tblW w:type="pct" w:w="5000"/>
        <w:tblLook w:firstRow="0" w:lastRow="0" w:firstColumn="0" w:lastColumn="0" w:noHBand="0" w:noVBand="0" w:val="0000"/>
        <w:jc w:val="start"/>
      </w:tblPr>
      <w:tblGrid>
        <w:gridCol w:w="1980"/>
        <w:gridCol w:w="1980"/>
        <w:gridCol w:w="1980"/>
        <w:gridCol w:w="1980"/>
      </w:tblGrid>
      <w:tr>
        <w:tc>
          <w:tcPr/>
          <w:p>
            <w:pPr>
              <w:pStyle w:val="Compact"/>
              <w:jc w:val="center"/>
            </w:pPr>
            <w:r>
              <w:t xml:space="preserve">S. No.</w:t>
            </w:r>
          </w:p>
        </w:tc>
        <w:tc>
          <w:tcPr/>
          <w:p>
            <w:pPr>
              <w:pStyle w:val="Compact"/>
              <w:jc w:val="center"/>
            </w:pPr>
            <w:r>
              <w:t xml:space="preserve">Particulars</w:t>
            </w:r>
          </w:p>
        </w:tc>
        <w:tc>
          <w:tcPr/>
          <w:p>
            <w:pPr>
              <w:pStyle w:val="Compact"/>
              <w:jc w:val="center"/>
            </w:pPr>
            <w:r>
              <w:t xml:space="preserve">Aggregate nominal value</w:t>
            </w:r>
          </w:p>
        </w:tc>
        <w:tc>
          <w:tcPr/>
          <w:p>
            <w:pPr>
              <w:pStyle w:val="Compact"/>
              <w:jc w:val="center"/>
            </w:pPr>
            <w:r>
              <w:t xml:space="preserve">Aggregate value at Offer Price*</w:t>
            </w:r>
          </w:p>
        </w:tc>
      </w:tr>
      <w:tr>
        <w:tc>
          <w:tcPr/>
          <w:p>
            <w:pPr>
              <w:pStyle w:val="Compact"/>
              <w:jc w:val="center"/>
            </w:pPr>
            <w:r>
              <w:t xml:space="preserve">A)</w:t>
            </w:r>
          </w:p>
        </w:tc>
        <w:tc>
          <w:tcPr/>
          <w:p>
            <w:pPr>
              <w:pStyle w:val="Compact"/>
              <w:jc w:val="center"/>
            </w:pPr>
            <w:r>
              <w:t xml:space="preserve">Acme Corp CAPITAL(1)</w:t>
            </w:r>
          </w:p>
        </w:tc>
        <w:tc>
          <w:tcPr/>
          <w:p>
            <w:pPr>
              <w:pStyle w:val="Compact"/>
            </w:pPr>
          </w:p>
        </w:tc>
        <w:tc>
          <w:tcPr/>
          <w:p>
            <w:pPr>
              <w:pStyle w:val="Compact"/>
            </w:pPr>
          </w:p>
        </w:tc>
      </w:tr>
      <w:tr>
        <w:tc>
          <w:tcPr/>
          <w:p>
            <w:pPr>
              <w:pStyle w:val="Compact"/>
              <w:jc w:val="center"/>
            </w:pPr>
            <w:r>
              <w:t xml:space="preserve">Equity Shares comprising:</w:t>
            </w:r>
          </w:p>
        </w:tc>
        <w:tc>
          <w:tcPr/>
          <w:p>
            <w:pPr>
              <w:pStyle w:val="Compact"/>
              <w:jc w:val="center"/>
            </w:pPr>
            <w:r>
              <w:t xml:space="preserve">[●]</w:t>
            </w:r>
          </w:p>
        </w:tc>
        <w:tc>
          <w:tcPr/>
          <w:p>
            <w:pPr>
              <w:pStyle w:val="Compact"/>
            </w:pPr>
          </w:p>
        </w:tc>
        <w:tc>
          <w:tcPr/>
          <w:p>
            <w:pPr>
              <w:pStyle w:val="Compact"/>
            </w:pPr>
          </w:p>
        </w:tc>
      </w:tr>
      <w:tr>
        <w:tc>
          <w:tcPr/>
          <w:p>
            <w:pPr>
              <w:pStyle w:val="Compact"/>
              <w:jc w:val="center"/>
            </w:pPr>
            <w:r>
              <w:t xml:space="preserve">80,000,000 Equity Shares of face value of ₹5 each</w:t>
            </w:r>
          </w:p>
        </w:tc>
        <w:tc>
          <w:tcPr/>
          <w:p>
            <w:pPr>
              <w:pStyle w:val="Compact"/>
              <w:jc w:val="center"/>
            </w:pPr>
            <w:r>
              <w:t xml:space="preserve">400,000,000</w:t>
            </w:r>
          </w:p>
        </w:tc>
        <w:tc>
          <w:tcPr/>
          <w:p>
            <w:pPr>
              <w:pStyle w:val="Compact"/>
              <w:jc w:val="center"/>
            </w:pPr>
            <w:r>
              <w:t xml:space="preserve">[●]</w:t>
            </w:r>
          </w:p>
        </w:tc>
        <w:tc>
          <w:tcPr/>
          <w:p>
            <w:pPr>
              <w:pStyle w:val="Compact"/>
            </w:pPr>
          </w:p>
        </w:tc>
      </w:tr>
      <w:tr>
        <w:tc>
          <w:tcPr/>
          <w:p>
            <w:pPr>
              <w:pStyle w:val="Compact"/>
              <w:jc w:val="center"/>
            </w:pPr>
            <w:r>
              <w:t xml:space="preserve">B)</w:t>
            </w:r>
          </w:p>
        </w:tc>
        <w:tc>
          <w:tcPr/>
          <w:p>
            <w:pPr>
              <w:pStyle w:val="Compact"/>
              <w:jc w:val="center"/>
            </w:pPr>
            <w:r>
              <w:t xml:space="preserve">ISSUED, SUBSCRIBED AND PAID-UP SHARE CAPITAL BEFORE THE OFFER</w:t>
            </w:r>
          </w:p>
        </w:tc>
        <w:tc>
          <w:tcPr/>
          <w:p>
            <w:pPr>
              <w:pStyle w:val="Compact"/>
            </w:pPr>
          </w:p>
        </w:tc>
        <w:tc>
          <w:tcPr/>
          <w:p>
            <w:pPr>
              <w:pStyle w:val="Compact"/>
            </w:pPr>
          </w:p>
        </w:tc>
      </w:tr>
      <w:tr>
        <w:tc>
          <w:tcPr/>
          <w:p>
            <w:pPr>
              <w:pStyle w:val="Compact"/>
              <w:jc w:val="center"/>
            </w:pPr>
            <w:r>
              <w:t xml:space="preserve">56,818,200 Equity Shares of face value of ₹5 each</w:t>
            </w:r>
          </w:p>
        </w:tc>
        <w:tc>
          <w:tcPr/>
          <w:p>
            <w:pPr>
              <w:pStyle w:val="Compact"/>
              <w:jc w:val="center"/>
            </w:pPr>
            <w:r>
              <w:t xml:space="preserve">284,091,000</w:t>
            </w:r>
          </w:p>
        </w:tc>
        <w:tc>
          <w:tcPr/>
          <w:p>
            <w:pPr>
              <w:pStyle w:val="Compact"/>
              <w:jc w:val="center"/>
            </w:pPr>
            <w:r>
              <w:t xml:space="preserve">[●]</w:t>
            </w:r>
          </w:p>
        </w:tc>
        <w:tc>
          <w:tcPr/>
          <w:p>
            <w:pPr>
              <w:pStyle w:val="Compact"/>
            </w:pPr>
          </w:p>
        </w:tc>
      </w:tr>
      <w:tr>
        <w:tc>
          <w:tcPr/>
          <w:p>
            <w:pPr>
              <w:pStyle w:val="Compact"/>
              <w:jc w:val="center"/>
            </w:pPr>
            <w:r>
              <w:t xml:space="preserve">C)</w:t>
            </w:r>
          </w:p>
        </w:tc>
        <w:tc>
          <w:tcPr/>
          <w:p>
            <w:pPr>
              <w:pStyle w:val="Compact"/>
              <w:jc w:val="center"/>
            </w:pPr>
            <w:r>
              <w:t xml:space="preserve">PRESENT OFFER(2)</w:t>
            </w:r>
          </w:p>
        </w:tc>
        <w:tc>
          <w:tcPr/>
          <w:p>
            <w:pPr>
              <w:pStyle w:val="Compact"/>
            </w:pPr>
          </w:p>
        </w:tc>
        <w:tc>
          <w:tcPr/>
          <w:p>
            <w:pPr>
              <w:pStyle w:val="Compact"/>
            </w:pPr>
          </w:p>
        </w:tc>
      </w:tr>
      <w:tr>
        <w:tc>
          <w:tcPr/>
          <w:p>
            <w:pPr>
              <w:pStyle w:val="Compact"/>
              <w:jc w:val="center"/>
            </w:pPr>
            <w:r>
              <w:t xml:space="preserve">Offer of up to [●] Equity Shares of face value of ₹5 each aggregating up to₹7,100.00 million (3)</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center"/>
            </w:pPr>
            <w:r>
              <w:t xml:space="preserve">Of which</w:t>
            </w:r>
          </w:p>
        </w:tc>
        <w:tc>
          <w:tcPr/>
          <w:p>
            <w:pPr>
              <w:pStyle w:val="Compact"/>
            </w:pPr>
          </w:p>
        </w:tc>
        <w:tc>
          <w:tcPr/>
          <w:p>
            <w:pPr>
              <w:pStyle w:val="Compact"/>
            </w:pPr>
          </w:p>
        </w:tc>
        <w:tc>
          <w:tcPr/>
          <w:p>
            <w:pPr>
              <w:pStyle w:val="Compact"/>
            </w:pPr>
          </w:p>
        </w:tc>
      </w:tr>
      <w:tr>
        <w:tc>
          <w:tcPr/>
          <w:p>
            <w:pPr>
              <w:pStyle w:val="Compact"/>
              <w:jc w:val="center"/>
            </w:pPr>
            <w:r>
              <w:t xml:space="preserve">Fresh Issue of up to [●] Equity Shares of face value of ₹5 each aggregating up to ₹4,200.00 million</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center"/>
            </w:pPr>
            <w:r>
              <w:t xml:space="preserve">Offer for Sale of up to [●] Equity Shares of face value of ₹5 each aggregating up to ₹2,900.00 million(3)</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center"/>
            </w:pPr>
            <w:r>
              <w:t xml:space="preserve">E)</w:t>
            </w:r>
          </w:p>
        </w:tc>
        <w:tc>
          <w:tcPr/>
          <w:p>
            <w:pPr>
              <w:pStyle w:val="Compact"/>
              <w:jc w:val="center"/>
            </w:pPr>
            <w:r>
              <w:t xml:space="preserve">ISSUED, SUBSCRIBED AND PAID-UP SHARE CAPITAL AFTER THE OFFER*</w:t>
            </w:r>
          </w:p>
        </w:tc>
        <w:tc>
          <w:tcPr/>
          <w:p>
            <w:pPr>
              <w:pStyle w:val="Compact"/>
            </w:pPr>
          </w:p>
        </w:tc>
        <w:tc>
          <w:tcPr/>
          <w:p>
            <w:pPr>
              <w:pStyle w:val="Compact"/>
            </w:pPr>
          </w:p>
        </w:tc>
      </w:tr>
      <w:tr>
        <w:tc>
          <w:tcPr/>
          <w:p>
            <w:pPr>
              <w:pStyle w:val="Compact"/>
              <w:jc w:val="center"/>
            </w:pPr>
            <w:r>
              <w:t xml:space="preserve">[●] Equity Shares of face value of ₹5 each</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center"/>
            </w:pPr>
            <w:r>
              <w:t xml:space="preserve">F)</w:t>
            </w:r>
          </w:p>
        </w:tc>
        <w:tc>
          <w:tcPr/>
          <w:p>
            <w:pPr>
              <w:pStyle w:val="Compact"/>
              <w:jc w:val="center"/>
            </w:pPr>
            <w:r>
              <w:t xml:space="preserve">SECURITIES PREMIUM ACCOUNT</w:t>
            </w:r>
          </w:p>
        </w:tc>
        <w:tc>
          <w:tcPr/>
          <w:p>
            <w:pPr>
              <w:pStyle w:val="Compact"/>
            </w:pPr>
          </w:p>
        </w:tc>
        <w:tc>
          <w:tcPr/>
          <w:p>
            <w:pPr>
              <w:pStyle w:val="Compact"/>
            </w:pPr>
          </w:p>
        </w:tc>
      </w:tr>
      <w:tr>
        <w:tc>
          <w:tcPr/>
          <w:p>
            <w:pPr>
              <w:pStyle w:val="Compact"/>
              <w:jc w:val="center"/>
            </w:pPr>
            <w:r>
              <w:t xml:space="preserve">Before the Offer</w:t>
            </w:r>
          </w:p>
        </w:tc>
        <w:tc>
          <w:tcPr/>
          <w:p>
            <w:pPr>
              <w:pStyle w:val="Compact"/>
              <w:jc w:val="center"/>
            </w:pPr>
            <w:r>
              <w:t xml:space="preserve">0.00</w:t>
            </w:r>
          </w:p>
        </w:tc>
        <w:tc>
          <w:tcPr/>
          <w:p>
            <w:pPr>
              <w:pStyle w:val="Compact"/>
            </w:pPr>
          </w:p>
        </w:tc>
        <w:tc>
          <w:tcPr/>
          <w:p>
            <w:pPr>
              <w:pStyle w:val="Compact"/>
            </w:pPr>
          </w:p>
        </w:tc>
      </w:tr>
      <w:tr>
        <w:tc>
          <w:tcPr/>
          <w:p>
            <w:pPr>
              <w:pStyle w:val="Compact"/>
              <w:jc w:val="center"/>
            </w:pPr>
            <w:r>
              <w:t xml:space="preserve">After the Offer*</w:t>
            </w:r>
          </w:p>
        </w:tc>
        <w:tc>
          <w:tcPr/>
          <w:p>
            <w:pPr>
              <w:pStyle w:val="Compact"/>
              <w:jc w:val="center"/>
            </w:pPr>
            <w:r>
              <w:t xml:space="preserve">[●]</w:t>
            </w:r>
          </w:p>
        </w:tc>
        <w:tc>
          <w:tcPr/>
          <w:p>
            <w:pPr>
              <w:pStyle w:val="Compact"/>
            </w:pPr>
          </w:p>
        </w:tc>
        <w:tc>
          <w:tcPr/>
          <w:p>
            <w:pPr>
              <w:pStyle w:val="Compact"/>
            </w:pPr>
          </w:p>
        </w:tc>
      </w:tr>
    </w:tbl>
    <w:p>
      <w:pPr>
        <w:pStyle w:val="BodyText"/>
      </w:pPr>
      <w:r>
        <w:t xml:space="preserve">* To be updated upon finalisation of the Offer Price, and subject to Basis of Allotment.</w:t>
      </w:r>
    </w:p>
    <w:p>
      <w:pPr>
        <w:numPr>
          <w:ilvl w:val="0"/>
          <w:numId w:val="1009"/>
        </w:numPr>
      </w:pPr>
      <w:r>
        <w:t xml:space="preserve">For details in relation to the changes in the authorised share capital of our Company in the last 10 years, see</w:t>
      </w:r>
      <w:r>
        <w:t xml:space="preserve"> </w:t>
      </w:r>
      <w:r>
        <w:t xml:space="preserve">“</w:t>
      </w:r>
      <w:r>
        <w:t xml:space="preserve">History and Certain Corporate Matters – Amendments to our Memorandum of Association in the last 10 years</w:t>
      </w:r>
      <w:r>
        <w:t xml:space="preserve">”</w:t>
      </w:r>
      <w:r>
        <w:t xml:space="preserve"> </w:t>
      </w:r>
      <w:r>
        <w:t xml:space="preserve">on page 244.</w:t>
      </w:r>
    </w:p>
    <w:p>
      <w:pPr>
        <w:numPr>
          <w:ilvl w:val="0"/>
          <w:numId w:val="1009"/>
        </w:numPr>
      </w:pPr>
      <w:r>
        <w:t xml:space="preserve">The Offer has been approved by our Board pursuant to the resolution passed at its meeting held on May 6, 2025 and our Shareholders have authorized the Fresh Issue pursuant to a special resolution passed at their meeting held on May 6, 2025. Further, our Board has taken on record the consents of the Promoter Selling Shareholders to participate in the Offer for Sale pursuant to its resolution dated May 6, 2025 and IPO Committee has taken on record further updated consents of the Promoter Selling Shareholders pursuant to its resolutions dated May 22, 2025 and December 6, 2025, respectively.</w:t>
      </w:r>
    </w:p>
    <w:p>
      <w:pPr>
        <w:numPr>
          <w:ilvl w:val="0"/>
          <w:numId w:val="1009"/>
        </w:numPr>
      </w:pPr>
      <w:r>
        <w:t xml:space="preserve">Each of the Promoter Selling Shareholders have, severally and not jointly, consented to participate in the Offer for Sale. Each of the Promoter Selling Shareholders has specifically confirmed that its respective portion of the Offered Shares has been held by each one of them for a period of at least one year prior to the filing of the Draft Red Herring Prospectus and are accordingly eligible for being offered for sale in the Offer as required by the SEBI ICDR Regulations. Further, each of the Promoter Selling Shareholders has confirmed that it is in compliance with the conditions specified in Regulation 8 of the SEBI ICDR Regulations, to the extent applicable, as on the date of this Red Herring Prospectus. For details on the authorisation of the Promoter Selling Shareholders in relation to the Offered Shares, see</w:t>
      </w:r>
      <w:r>
        <w:t xml:space="preserve"> </w:t>
      </w:r>
      <w:r>
        <w:t xml:space="preserve">“</w:t>
      </w:r>
      <w:r>
        <w:t xml:space="preserve">The Offer</w:t>
      </w:r>
      <w:r>
        <w:t xml:space="preserve">”</w:t>
      </w:r>
      <w:r>
        <w:t xml:space="preserve"> </w:t>
      </w:r>
      <w:r>
        <w:t xml:space="preserve">and</w:t>
      </w:r>
      <w:r>
        <w:t xml:space="preserve"> </w:t>
      </w:r>
      <w:r>
        <w:t xml:space="preserve">“</w:t>
      </w:r>
      <w:r>
        <w:t xml:space="preserve">Other Regulatory and Statutory Disclosures</w:t>
      </w:r>
      <w:r>
        <w:t xml:space="preserve">”</w:t>
      </w:r>
      <w:r>
        <w:t xml:space="preserve"> </w:t>
      </w:r>
      <w:r>
        <w:t xml:space="preserve">on pages 67 and 398, respectively.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3" Target="http://commercialbanking.citibank.com/" TargetMode="External" /><Relationship Type="http://schemas.openxmlformats.org/officeDocument/2006/relationships/hyperlink" Id="rId74" Target="http://www.bajajfinance.com/" TargetMode="External" /><Relationship Type="http://schemas.openxmlformats.org/officeDocument/2006/relationships/hyperlink" Id="rId31" Target="http://www.bseindia.com/" TargetMode="External" /><Relationship Type="http://schemas.openxmlformats.org/officeDocument/2006/relationships/hyperlink" Id="rId57" Target="http://www.bseindia.com/Static/Markets/PublicIssues/RtaDp.aspx" TargetMode="External" /><Relationship Type="http://schemas.openxmlformats.org/officeDocument/2006/relationships/hyperlink" Id="rId65" Target="http://www.eximbankindia.in/" TargetMode="External" /><Relationship Type="http://schemas.openxmlformats.org/officeDocument/2006/relationships/hyperlink" Id="rId37" Target="http://www.fbil.org.in/" TargetMode="External" /><Relationship Type="http://schemas.openxmlformats.org/officeDocument/2006/relationships/hyperlink" Id="rId72" Target="http://www.federalbank.co.in/" TargetMode="External" /><Relationship Type="http://schemas.openxmlformats.org/officeDocument/2006/relationships/hyperlink" Id="rId50" Target="http://www.hdfcbank.com/" TargetMode="External" /><Relationship Type="http://schemas.openxmlformats.org/officeDocument/2006/relationships/hyperlink" Id="rId52" Target="http://www.icicibank.com/" TargetMode="External" /><Relationship Type="http://schemas.openxmlformats.org/officeDocument/2006/relationships/hyperlink" Id="rId26" Target="http://www.icicisecurities.com/" TargetMode="External" /><Relationship Type="http://schemas.openxmlformats.org/officeDocument/2006/relationships/hyperlink" Id="rId29" Target="http://www.in.mpms.mufg.com/" TargetMode="External" /><Relationship Type="http://schemas.openxmlformats.org/officeDocument/2006/relationships/hyperlink" Id="rId67" Target="http://www.indusind.com/" TargetMode="External" /><Relationship Type="http://schemas.openxmlformats.org/officeDocument/2006/relationships/hyperlink" Id="rId23" Target="http://www.kshinternational.com/" TargetMode="External" /><Relationship Type="http://schemas.openxmlformats.org/officeDocument/2006/relationships/hyperlink" Id="rId32" Target="http://www.nseindia.com/" TargetMode="External" /><Relationship Type="http://schemas.openxmlformats.org/officeDocument/2006/relationships/hyperlink" Id="rId58" Target="http://www.nseindia.com/products/content/equities/ipos/asba_procedures.htm" TargetMode="External" /><Relationship Type="http://schemas.openxmlformats.org/officeDocument/2006/relationships/hyperlink" Id="rId24" Target="http://www.nuvama.com/" TargetMode="External" /><Relationship Type="http://schemas.openxmlformats.org/officeDocument/2006/relationships/hyperlink" Id="rId38" Target="http://www.oanda.com/bvi-en/" TargetMode="External" /><Relationship Type="http://schemas.openxmlformats.org/officeDocument/2006/relationships/hyperlink" Id="rId70" Target="http://www.sbi.co.in/" TargetMode="External" /><Relationship Type="http://schemas.openxmlformats.org/officeDocument/2006/relationships/hyperlink" Id="rId33" Target="http://www.sebi.gov.in/sebiweb/other/OtherAction.do?doRecognised=yes" TargetMode="External" /><Relationship Type="http://schemas.openxmlformats.org/officeDocument/2006/relationships/hyperlink" Id="rId56" Target="http://www.sebi.gov.in/sebiweb/other/OtherAction.do?doRecognised=yes&amp;intmId=35" TargetMode="External" /><Relationship Type="http://schemas.openxmlformats.org/officeDocument/2006/relationships/hyperlink" Id="rId44" Target="http://www.sebi.gov.in/sebiweb/other/OtherAction.do?doRecognisedFpi=yes&amp;intmId=10" TargetMode="External" /><Relationship Type="http://schemas.openxmlformats.org/officeDocument/2006/relationships/hyperlink" Id="rId34" Target="http://www.sebi.gov.in/sebiweb/other/OtherAction.do?doRecognisedFpi=yes&amp;intmId=34" TargetMode="External" /><Relationship Type="http://schemas.openxmlformats.org/officeDocument/2006/relationships/hyperlink" Id="rId35" Target="http://www.sebi.gov.in/sebiweb/other/OtherAction.do?doRecognisedFpi=yes&amp;intmId=35" TargetMode="External" /><Relationship Type="http://schemas.openxmlformats.org/officeDocument/2006/relationships/hyperlink" Id="rId36" Target="http://www.sebi.gov.in/sebiweb/other/OtherAction.do?doRecognisedFpi=yes&amp;intmId=40" TargetMode="External" /><Relationship Type="http://schemas.openxmlformats.org/officeDocument/2006/relationships/hyperlink" Id="rId30" Target="https://kshinternational.com/investor-relations/industry-report/" TargetMode="External" /><Relationship Type="http://schemas.openxmlformats.org/officeDocument/2006/relationships/hyperlink" Id="rId76" Target="https://siportal.sebi.gov.in/" TargetMode="External" /><Relationship Type="http://schemas.openxmlformats.org/officeDocument/2006/relationships/hyperlink" Id="rId42" Target="https://url.uk.m.mimecastprotect.com/s/haoKCwjL3hgAyjlHVf4uJmJDB?domain=nuvama.com" TargetMode="External" /><Relationship Type="http://schemas.openxmlformats.org/officeDocument/2006/relationships/hyperlink" Id="rId59" Target="https://www.bseindia.com/Static/PublicIssues/RtaDp.aspx" TargetMode="External" /><Relationship Type="http://schemas.openxmlformats.org/officeDocument/2006/relationships/hyperlink" Id="rId60" Target="https://www.nseindia.com/products/content/equities/ipos/asba_procedures.htm" TargetMode="External" /><Relationship Type="http://schemas.openxmlformats.org/officeDocument/2006/relationships/hyperlink" Id="rId53" Target="https://www.sebi.gov.in/sebiweb/other/OtherAction.do?doRecognisedFpi=yes&amp;intmId=34" TargetMode="External" /><Relationship Type="http://schemas.openxmlformats.org/officeDocument/2006/relationships/hyperlink" Id="rId54" Target="https://www.sebi.gov.in/sebiweb/other/OtherAction.do?doRecognisedFpi=yes&amp;intmId=40" TargetMode="External" /><Relationship Type="http://schemas.openxmlformats.org/officeDocument/2006/relationships/hyperlink" Id="rId55" Target="https://www.sebi.gov.in/sebiweb/other/OtherAction.do?doRecognisedFpi=yes&amp;intmId=43" TargetMode="External" /><Relationship Type="http://schemas.openxmlformats.org/officeDocument/2006/relationships/hyperlink" Id="rId51" Target="mailto:jane.allen@example.com" TargetMode="External" /><Relationship Type="http://schemas.openxmlformats.org/officeDocument/2006/relationships/hyperlink" Id="rId48" Target="mailto:jane.clark@example.com" TargetMode="External" /><Relationship Type="http://schemas.openxmlformats.org/officeDocument/2006/relationships/hyperlink" Id="rId66" Target="mailto:jane.doe@example.com" TargetMode="External" /><Relationship Type="http://schemas.openxmlformats.org/officeDocument/2006/relationships/hyperlink" Id="rId46" Target="mailto:jane.hall@example.com" TargetMode="External" /><Relationship Type="http://schemas.openxmlformats.org/officeDocument/2006/relationships/hyperlink" Id="rId61" Target="mailto:jane.johnson@example.com" TargetMode="External" /><Relationship Type="http://schemas.openxmlformats.org/officeDocument/2006/relationships/hyperlink" Id="rId64" Target="mailto:jane.parker@example.com" TargetMode="External" /><Relationship Type="http://schemas.openxmlformats.org/officeDocument/2006/relationships/hyperlink" Id="rId62" Target="mailto:jane.smith@example.com" TargetMode="External" /><Relationship Type="http://schemas.openxmlformats.org/officeDocument/2006/relationships/hyperlink" Id="rId47" Target="mailto:jane.walker@example.com" TargetMode="External" /><Relationship Type="http://schemas.openxmlformats.org/officeDocument/2006/relationships/hyperlink" Id="rId49" Target="mailto:jane.wilson@example.com" TargetMode="External" /><Relationship Type="http://schemas.openxmlformats.org/officeDocument/2006/relationships/hyperlink" Id="rId45" Target="mailto:jane.young@example.com" TargetMode="External" /><Relationship Type="http://schemas.openxmlformats.org/officeDocument/2006/relationships/hyperlink" Id="rId68" Target="mailto:john.allen@example.com" TargetMode="External" /><Relationship Type="http://schemas.openxmlformats.org/officeDocument/2006/relationships/hyperlink" Id="rId71" Target="mailto:john.clark@example.com" TargetMode="External" /><Relationship Type="http://schemas.openxmlformats.org/officeDocument/2006/relationships/hyperlink" Id="rId69" Target="mailto:john.hall@example.com" TargetMode="External" /><Relationship Type="http://schemas.openxmlformats.org/officeDocument/2006/relationships/hyperlink" Id="rId75" Target="mailto:john.johnson@example.com" TargetMode="External" /><Relationship Type="http://schemas.openxmlformats.org/officeDocument/2006/relationships/hyperlink" Id="rId73" Target="mailto:john.lee@example.com" TargetMode="External" /><Relationship Type="http://schemas.openxmlformats.org/officeDocument/2006/relationships/hyperlink" Id="rId27" Target="mailto:peter.brown@example.com" TargetMode="External" /><Relationship Type="http://schemas.openxmlformats.org/officeDocument/2006/relationships/hyperlink" Id="rId40" Target="mailto:peter.clark@example.com" TargetMode="External" /><Relationship Type="http://schemas.openxmlformats.org/officeDocument/2006/relationships/hyperlink" Id="rId25" Target="mailto:peter.hall@example.com" TargetMode="External" /><Relationship Type="http://schemas.openxmlformats.org/officeDocument/2006/relationships/hyperlink" Id="rId43" Target="mailto:peter.johnson@example.com" TargetMode="External" /><Relationship Type="http://schemas.openxmlformats.org/officeDocument/2006/relationships/hyperlink" Id="rId28" Target="mailto:peter.parker@example.com" TargetMode="External" /><Relationship Type="http://schemas.openxmlformats.org/officeDocument/2006/relationships/hyperlink" Id="rId22" Target="mailto:peter.smith@example.com" TargetMode="External" /><Relationship Type="http://schemas.openxmlformats.org/officeDocument/2006/relationships/hyperlink" Id="rId21" Target="mailto:peter.walker@example.com" TargetMode="External" /><Relationship Type="http://schemas.openxmlformats.org/officeDocument/2006/relationships/hyperlink" Id="rId41" Target="mailto:peter.wilson@example.com" TargetMode="External" /><Relationship Type="http://schemas.openxmlformats.org/officeDocument/2006/relationships/hyperlink" Id="rId39" Target="mailto:peter.young@example.com" TargetMode="External" /><Relationship Type="http://schemas.openxmlformats.org/officeDocument/2006/relationships/hyperlink" Id="rId20" Target="mailto:taylor.walker@example.com" TargetMode="External" /></Relationships>
</file>

<file path=word/_rels/footnotes.xml.rels><?xml version="1.0" encoding="UTF-8"?><Relationships xmlns="http://schemas.openxmlformats.org/package/2006/relationships"><Relationship Type="http://schemas.openxmlformats.org/officeDocument/2006/relationships/hyperlink" Id="rId63" Target="http://commercialbanking.citibank.com/" TargetMode="External" /><Relationship Type="http://schemas.openxmlformats.org/officeDocument/2006/relationships/hyperlink" Id="rId74" Target="http://www.bajajfinance.com/" TargetMode="External" /><Relationship Type="http://schemas.openxmlformats.org/officeDocument/2006/relationships/hyperlink" Id="rId31" Target="http://www.bseindia.com/" TargetMode="External" /><Relationship Type="http://schemas.openxmlformats.org/officeDocument/2006/relationships/hyperlink" Id="rId57" Target="http://www.bseindia.com/Static/Markets/PublicIssues/RtaDp.aspx" TargetMode="External" /><Relationship Type="http://schemas.openxmlformats.org/officeDocument/2006/relationships/hyperlink" Id="rId65" Target="http://www.eximbankindia.in/" TargetMode="External" /><Relationship Type="http://schemas.openxmlformats.org/officeDocument/2006/relationships/hyperlink" Id="rId37" Target="http://www.fbil.org.in/" TargetMode="External" /><Relationship Type="http://schemas.openxmlformats.org/officeDocument/2006/relationships/hyperlink" Id="rId72" Target="http://www.federalbank.co.in/" TargetMode="External" /><Relationship Type="http://schemas.openxmlformats.org/officeDocument/2006/relationships/hyperlink" Id="rId50" Target="http://www.hdfcbank.com/" TargetMode="External" /><Relationship Type="http://schemas.openxmlformats.org/officeDocument/2006/relationships/hyperlink" Id="rId52" Target="http://www.icicibank.com/" TargetMode="External" /><Relationship Type="http://schemas.openxmlformats.org/officeDocument/2006/relationships/hyperlink" Id="rId26" Target="http://www.icicisecurities.com/" TargetMode="External" /><Relationship Type="http://schemas.openxmlformats.org/officeDocument/2006/relationships/hyperlink" Id="rId29" Target="http://www.in.mpms.mufg.com/" TargetMode="External" /><Relationship Type="http://schemas.openxmlformats.org/officeDocument/2006/relationships/hyperlink" Id="rId67" Target="http://www.indusind.com/" TargetMode="External" /><Relationship Type="http://schemas.openxmlformats.org/officeDocument/2006/relationships/hyperlink" Id="rId23" Target="http://www.kshinternational.com/" TargetMode="External" /><Relationship Type="http://schemas.openxmlformats.org/officeDocument/2006/relationships/hyperlink" Id="rId32" Target="http://www.nseindia.com/" TargetMode="External" /><Relationship Type="http://schemas.openxmlformats.org/officeDocument/2006/relationships/hyperlink" Id="rId58" Target="http://www.nseindia.com/products/content/equities/ipos/asba_procedures.htm" TargetMode="External" /><Relationship Type="http://schemas.openxmlformats.org/officeDocument/2006/relationships/hyperlink" Id="rId24" Target="http://www.nuvama.com/" TargetMode="External" /><Relationship Type="http://schemas.openxmlformats.org/officeDocument/2006/relationships/hyperlink" Id="rId38" Target="http://www.oanda.com/bvi-en/" TargetMode="External" /><Relationship Type="http://schemas.openxmlformats.org/officeDocument/2006/relationships/hyperlink" Id="rId70" Target="http://www.sbi.co.in/" TargetMode="External" /><Relationship Type="http://schemas.openxmlformats.org/officeDocument/2006/relationships/hyperlink" Id="rId33" Target="http://www.sebi.gov.in/sebiweb/other/OtherAction.do?doRecognised=yes" TargetMode="External" /><Relationship Type="http://schemas.openxmlformats.org/officeDocument/2006/relationships/hyperlink" Id="rId56" Target="http://www.sebi.gov.in/sebiweb/other/OtherAction.do?doRecognised=yes&amp;intmId=35" TargetMode="External" /><Relationship Type="http://schemas.openxmlformats.org/officeDocument/2006/relationships/hyperlink" Id="rId44" Target="http://www.sebi.gov.in/sebiweb/other/OtherAction.do?doRecognisedFpi=yes&amp;intmId=10" TargetMode="External" /><Relationship Type="http://schemas.openxmlformats.org/officeDocument/2006/relationships/hyperlink" Id="rId34" Target="http://www.sebi.gov.in/sebiweb/other/OtherAction.do?doRecognisedFpi=yes&amp;intmId=34" TargetMode="External" /><Relationship Type="http://schemas.openxmlformats.org/officeDocument/2006/relationships/hyperlink" Id="rId35" Target="http://www.sebi.gov.in/sebiweb/other/OtherAction.do?doRecognisedFpi=yes&amp;intmId=35" TargetMode="External" /><Relationship Type="http://schemas.openxmlformats.org/officeDocument/2006/relationships/hyperlink" Id="rId36" Target="http://www.sebi.gov.in/sebiweb/other/OtherAction.do?doRecognisedFpi=yes&amp;intmId=40" TargetMode="External" /><Relationship Type="http://schemas.openxmlformats.org/officeDocument/2006/relationships/hyperlink" Id="rId30" Target="https://kshinternational.com/investor-relations/industry-report/" TargetMode="External" /><Relationship Type="http://schemas.openxmlformats.org/officeDocument/2006/relationships/hyperlink" Id="rId76" Target="https://siportal.sebi.gov.in/" TargetMode="External" /><Relationship Type="http://schemas.openxmlformats.org/officeDocument/2006/relationships/hyperlink" Id="rId42" Target="https://url.uk.m.mimecastprotect.com/s/haoKCwjL3hgAyjlHVf4uJmJDB?domain=nuvama.com" TargetMode="External" /><Relationship Type="http://schemas.openxmlformats.org/officeDocument/2006/relationships/hyperlink" Id="rId59" Target="https://www.bseindia.com/Static/PublicIssues/RtaDp.aspx" TargetMode="External" /><Relationship Type="http://schemas.openxmlformats.org/officeDocument/2006/relationships/hyperlink" Id="rId60" Target="https://www.nseindia.com/products/content/equities/ipos/asba_procedures.htm" TargetMode="External" /><Relationship Type="http://schemas.openxmlformats.org/officeDocument/2006/relationships/hyperlink" Id="rId53" Target="https://www.sebi.gov.in/sebiweb/other/OtherAction.do?doRecognisedFpi=yes&amp;intmId=34" TargetMode="External" /><Relationship Type="http://schemas.openxmlformats.org/officeDocument/2006/relationships/hyperlink" Id="rId54" Target="https://www.sebi.gov.in/sebiweb/other/OtherAction.do?doRecognisedFpi=yes&amp;intmId=40" TargetMode="External" /><Relationship Type="http://schemas.openxmlformats.org/officeDocument/2006/relationships/hyperlink" Id="rId55" Target="https://www.sebi.gov.in/sebiweb/other/OtherAction.do?doRecognisedFpi=yes&amp;intmId=43" TargetMode="External" /><Relationship Type="http://schemas.openxmlformats.org/officeDocument/2006/relationships/hyperlink" Id="rId51" Target="mailto:jane.allen@example.com" TargetMode="External" /><Relationship Type="http://schemas.openxmlformats.org/officeDocument/2006/relationships/hyperlink" Id="rId48" Target="mailto:jane.clark@example.com" TargetMode="External" /><Relationship Type="http://schemas.openxmlformats.org/officeDocument/2006/relationships/hyperlink" Id="rId66" Target="mailto:jane.doe@example.com" TargetMode="External" /><Relationship Type="http://schemas.openxmlformats.org/officeDocument/2006/relationships/hyperlink" Id="rId46" Target="mailto:jane.hall@example.com" TargetMode="External" /><Relationship Type="http://schemas.openxmlformats.org/officeDocument/2006/relationships/hyperlink" Id="rId61" Target="mailto:jane.johnson@example.com" TargetMode="External" /><Relationship Type="http://schemas.openxmlformats.org/officeDocument/2006/relationships/hyperlink" Id="rId64" Target="mailto:jane.parker@example.com" TargetMode="External" /><Relationship Type="http://schemas.openxmlformats.org/officeDocument/2006/relationships/hyperlink" Id="rId62" Target="mailto:jane.smith@example.com" TargetMode="External" /><Relationship Type="http://schemas.openxmlformats.org/officeDocument/2006/relationships/hyperlink" Id="rId47" Target="mailto:jane.walker@example.com" TargetMode="External" /><Relationship Type="http://schemas.openxmlformats.org/officeDocument/2006/relationships/hyperlink" Id="rId49" Target="mailto:jane.wilson@example.com" TargetMode="External" /><Relationship Type="http://schemas.openxmlformats.org/officeDocument/2006/relationships/hyperlink" Id="rId45" Target="mailto:jane.young@example.com" TargetMode="External" /><Relationship Type="http://schemas.openxmlformats.org/officeDocument/2006/relationships/hyperlink" Id="rId68" Target="mailto:john.allen@example.com" TargetMode="External" /><Relationship Type="http://schemas.openxmlformats.org/officeDocument/2006/relationships/hyperlink" Id="rId71" Target="mailto:john.clark@example.com" TargetMode="External" /><Relationship Type="http://schemas.openxmlformats.org/officeDocument/2006/relationships/hyperlink" Id="rId69" Target="mailto:john.hall@example.com" TargetMode="External" /><Relationship Type="http://schemas.openxmlformats.org/officeDocument/2006/relationships/hyperlink" Id="rId75" Target="mailto:john.johnson@example.com" TargetMode="External" /><Relationship Type="http://schemas.openxmlformats.org/officeDocument/2006/relationships/hyperlink" Id="rId73" Target="mailto:john.lee@example.com" TargetMode="External" /><Relationship Type="http://schemas.openxmlformats.org/officeDocument/2006/relationships/hyperlink" Id="rId27" Target="mailto:peter.brown@example.com" TargetMode="External" /><Relationship Type="http://schemas.openxmlformats.org/officeDocument/2006/relationships/hyperlink" Id="rId40" Target="mailto:peter.clark@example.com" TargetMode="External" /><Relationship Type="http://schemas.openxmlformats.org/officeDocument/2006/relationships/hyperlink" Id="rId25" Target="mailto:peter.hall@example.com" TargetMode="External" /><Relationship Type="http://schemas.openxmlformats.org/officeDocument/2006/relationships/hyperlink" Id="rId43" Target="mailto:peter.johnson@example.com" TargetMode="External" /><Relationship Type="http://schemas.openxmlformats.org/officeDocument/2006/relationships/hyperlink" Id="rId28" Target="mailto:peter.parker@example.com" TargetMode="External" /><Relationship Type="http://schemas.openxmlformats.org/officeDocument/2006/relationships/hyperlink" Id="rId22" Target="mailto:peter.smith@example.com" TargetMode="External" /><Relationship Type="http://schemas.openxmlformats.org/officeDocument/2006/relationships/hyperlink" Id="rId21" Target="mailto:peter.walker@example.com" TargetMode="External" /><Relationship Type="http://schemas.openxmlformats.org/officeDocument/2006/relationships/hyperlink" Id="rId41" Target="mailto:peter.wilson@example.com" TargetMode="External" /><Relationship Type="http://schemas.openxmlformats.org/officeDocument/2006/relationships/hyperlink" Id="rId39" Target="mailto:peter.young@example.com" TargetMode="External" /><Relationship Type="http://schemas.openxmlformats.org/officeDocument/2006/relationships/hyperlink" Id="rId20" Target="mailto:taylor.walker@exampl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2026-07-24T01:17:04Z</dcterms:created>
  <dcterms:modified xsi:type="dcterms:W3CDTF">2026-07-24T01:17:04Z</dcterms:modified>
</cp:coreProperties>
</file>

<file path=docProps/custom.xml><?xml version="1.0" encoding="utf-8"?>
<Properties xmlns="http://schemas.openxmlformats.org/officeDocument/2006/custom-properties" xmlns:vt="http://schemas.openxmlformats.org/officeDocument/2006/docPropsVTypes"/>
</file>